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pBdr>
          <w:top w:val="dotted" w:color="000000" w:sz="4" w:space="1"/>
          <w:bottom w:val="dotted" w:color="000000" w:sz="4" w:space="1"/>
        </w:pBdr>
        <w:shd w:val="clear" w:color="auto" w:fill="F1F1F1" w:themeFill="background1" w:themeFillShade="F2"/>
        <w:jc w:val="center"/>
        <w:outlineLvl w:val="0"/>
        <w:rPr>
          <w:rFonts w:hint="default"/>
          <w:b/>
          <w:i/>
          <w:sz w:val="36"/>
          <w:lang w:val="pl-PL"/>
        </w:rPr>
      </w:pPr>
      <w:r>
        <w:rPr>
          <w:rFonts w:hint="default"/>
          <w:b/>
          <w:i/>
          <w:sz w:val="36"/>
          <w:lang w:val="pl-PL"/>
        </w:rPr>
        <w:t xml:space="preserve"> </w:t>
      </w:r>
      <w:bookmarkStart w:id="0" w:name="_Toc12018"/>
      <w:r>
        <w:rPr>
          <w:rFonts w:hint="default"/>
          <w:b/>
          <w:i/>
          <w:sz w:val="36"/>
          <w:lang w:val="pl-PL"/>
        </w:rPr>
        <w:t>CZĘŚĆ OPISOWA PROJEKTU WNĘTRZA</w:t>
      </w:r>
      <w:bookmarkEnd w:id="0"/>
    </w:p>
    <w:p/>
    <w:p>
      <w:pPr>
        <w:bidi w:val="0"/>
        <w:rPr>
          <w:rFonts w:hint="default"/>
          <w:b/>
          <w:bCs/>
          <w:lang w:val="pl-PL"/>
        </w:rPr>
      </w:pPr>
      <w:r>
        <w:rPr>
          <w:rFonts w:hint="default"/>
          <w:b/>
          <w:bCs/>
          <w:lang w:val="pl-PL"/>
        </w:rPr>
        <w:t>DLA POTRZEB REALIZACJI INWESTYCJI POD NAZWĄ: „PROJEKT ARANŻACJI I KOLORYSTYKI WNĘTRZ W WYBRANYCH POMIESZCZENIACH OBIEKTU”</w:t>
      </w:r>
    </w:p>
    <w:p>
      <w:pPr>
        <w:rPr>
          <w:sz w:val="16"/>
          <w:szCs w:val="15"/>
        </w:rPr>
      </w:pPr>
    </w:p>
    <w:sdt>
      <w:sdtPr>
        <w:rPr>
          <w:rFonts w:hint="default" w:ascii="Calibri" w:hAnsi="Calibri" w:eastAsia="Calibri" w:cs="Calibri"/>
          <w:b/>
          <w:bCs/>
          <w:i w:val="0"/>
          <w:iCs w:val="0"/>
          <w:color w:val="auto"/>
          <w:sz w:val="28"/>
          <w:szCs w:val="28"/>
          <w:lang w:eastAsia="en-US"/>
        </w:rPr>
        <w:id w:val="560132340"/>
      </w:sdtPr>
      <w:sdtEndPr>
        <w:rPr>
          <w:rFonts w:hint="default" w:hAnsi="Arial" w:eastAsia="Calibri" w:cs="Verdana" w:asciiTheme="minorAscii"/>
          <w:b/>
          <w:bCs/>
          <w:i/>
          <w:iCs/>
          <w:caps w:val="0"/>
          <w:smallCaps/>
          <w:color w:val="auto"/>
          <w:sz w:val="24"/>
          <w:szCs w:val="22"/>
          <w:lang w:eastAsia="en-US"/>
        </w:rPr>
      </w:sdtEndPr>
      <w:sdtContent>
        <w:p>
          <w:pPr>
            <w:keepNext w:val="0"/>
            <w:keepLines w:val="0"/>
            <w:pageBreakBefore w:val="0"/>
            <w:widowControl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 w:val="0"/>
            <w:spacing w:line="360" w:lineRule="auto"/>
            <w:jc w:val="center"/>
            <w:textAlignment w:val="auto"/>
            <w:rPr>
              <w:rFonts w:hint="default" w:ascii="Calibri" w:hAnsi="Calibri" w:cs="Calibri"/>
              <w:b/>
              <w:bCs/>
              <w:i w:val="0"/>
              <w:iCs w:val="0"/>
              <w:color w:val="auto"/>
              <w:sz w:val="32"/>
              <w:szCs w:val="32"/>
              <w:lang w:val="pl-PL" w:eastAsia="en-US"/>
            </w:rPr>
          </w:pPr>
          <w:r>
            <w:rPr>
              <w:rFonts w:hint="default" w:ascii="Calibri" w:hAnsi="Calibri" w:cs="Calibri"/>
              <w:b/>
              <w:bCs/>
              <w:i w:val="0"/>
              <w:iCs w:val="0"/>
              <w:color w:val="auto"/>
              <w:sz w:val="32"/>
              <w:szCs w:val="32"/>
              <w:lang w:val="pl-PL" w:eastAsia="en-US"/>
            </w:rPr>
            <w:t>SPIS TREŚCI</w:t>
          </w:r>
        </w:p>
        <w:p>
          <w:pPr>
            <w:pStyle w:val="22"/>
            <w:tabs>
              <w:tab w:val="right" w:leader="dot" w:pos="9072"/>
              <w:tab w:val="clear" w:pos="660"/>
              <w:tab w:val="clear" w:pos="9062"/>
            </w:tabs>
            <w:spacing w:line="360" w:lineRule="auto"/>
            <w:rPr>
              <w:rFonts w:hint="default" w:hAnsi="Arial" w:eastAsia="Calibri" w:cs="Verdana" w:asciiTheme="minorAscii"/>
              <w:b w:val="0"/>
              <w:bCs w:val="0"/>
              <w:i/>
              <w:iCs/>
              <w:caps w:val="0"/>
              <w:smallCaps/>
              <w:color w:val="auto"/>
              <w:sz w:val="28"/>
              <w:szCs w:val="24"/>
              <w:lang w:eastAsia="en-US"/>
            </w:rPr>
          </w:pPr>
          <w:r>
            <w:rPr>
              <w:rFonts w:hint="default" w:hAnsi="Arial" w:eastAsia="Calibri" w:cs="Verdana" w:asciiTheme="minorAscii"/>
              <w:b w:val="0"/>
              <w:bCs w:val="0"/>
              <w:i/>
              <w:iCs/>
              <w:caps w:val="0"/>
              <w:smallCaps/>
              <w:color w:val="auto"/>
              <w:sz w:val="28"/>
              <w:szCs w:val="24"/>
              <w:lang w:eastAsia="en-US"/>
            </w:rPr>
            <w:fldChar w:fldCharType="begin"/>
          </w:r>
          <w:r>
            <w:rPr>
              <w:rFonts w:hint="default" w:hAnsi="Arial" w:eastAsia="Calibri" w:cs="Verdana" w:asciiTheme="minorAscii"/>
              <w:b w:val="0"/>
              <w:bCs w:val="0"/>
              <w:i/>
              <w:iCs/>
              <w:caps w:val="0"/>
              <w:smallCaps/>
              <w:color w:val="auto"/>
              <w:sz w:val="28"/>
              <w:szCs w:val="24"/>
              <w:lang w:eastAsia="en-US"/>
            </w:rPr>
            <w:instrText xml:space="preserve">TOC \o "1-1" \h \u </w:instrText>
          </w:r>
          <w:r>
            <w:rPr>
              <w:rFonts w:hint="default" w:hAnsi="Arial" w:eastAsia="Calibri" w:cs="Verdana" w:asciiTheme="minorAscii"/>
              <w:b w:val="0"/>
              <w:bCs w:val="0"/>
              <w:i/>
              <w:iCs/>
              <w:caps w:val="0"/>
              <w:smallCaps/>
              <w:color w:val="auto"/>
              <w:sz w:val="28"/>
              <w:szCs w:val="24"/>
              <w:lang w:eastAsia="en-US"/>
            </w:rPr>
            <w:fldChar w:fldCharType="separate"/>
          </w:r>
        </w:p>
        <w:p>
          <w:pPr>
            <w:pStyle w:val="22"/>
            <w:tabs>
              <w:tab w:val="right" w:leader="dot" w:pos="9072"/>
              <w:tab w:val="clear" w:pos="660"/>
              <w:tab w:val="clear" w:pos="9062"/>
            </w:tabs>
            <w:spacing w:line="360" w:lineRule="auto"/>
            <w:rPr>
              <w:sz w:val="24"/>
              <w:szCs w:val="24"/>
            </w:rPr>
          </w:pP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begin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instrText xml:space="preserve"> HYPERLINK \l _Toc12950 </w:instrText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fldChar w:fldCharType="separate"/>
          </w:r>
          <w:r>
            <w:rPr>
              <w:sz w:val="24"/>
              <w:szCs w:val="24"/>
            </w:rPr>
            <w:t>PODSTAWA PRAWNA</w:t>
          </w:r>
          <w:r>
            <w:rPr>
              <w:rFonts w:hint="default"/>
              <w:sz w:val="24"/>
              <w:szCs w:val="24"/>
              <w:lang w:val="pl-PL"/>
            </w:rPr>
            <w:t xml:space="preserve"> I UWAGI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_Toc12950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7</w:t>
          </w:r>
          <w:r>
            <w:rPr>
              <w:sz w:val="24"/>
              <w:szCs w:val="24"/>
            </w:rPr>
            <w:fldChar w:fldCharType="end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end"/>
          </w:r>
        </w:p>
        <w:p>
          <w:pPr>
            <w:pStyle w:val="22"/>
            <w:tabs>
              <w:tab w:val="right" w:leader="dot" w:pos="9072"/>
              <w:tab w:val="clear" w:pos="660"/>
              <w:tab w:val="clear" w:pos="9062"/>
            </w:tabs>
            <w:spacing w:line="360" w:lineRule="auto"/>
            <w:rPr>
              <w:sz w:val="24"/>
              <w:szCs w:val="24"/>
            </w:rPr>
          </w:pP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begin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instrText xml:space="preserve"> HYPERLINK \l _Toc9502 </w:instrText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fldChar w:fldCharType="separate"/>
          </w:r>
          <w:r>
            <w:rPr>
              <w:rFonts w:hint="default" w:ascii="Calibri" w:hAnsi="Calibri" w:eastAsia="SimSun" w:cs="SimSun"/>
              <w:bCs/>
              <w:sz w:val="24"/>
              <w:szCs w:val="24"/>
              <w:lang w:val="pl-PL"/>
            </w:rPr>
            <w:t xml:space="preserve">1. </w:t>
          </w:r>
          <w:r>
            <w:rPr>
              <w:rFonts w:hint="default"/>
              <w:sz w:val="24"/>
              <w:szCs w:val="24"/>
              <w:lang w:val="pl-PL"/>
            </w:rPr>
            <w:t>PODSTAWOWE DANE DOT. INWESTYCJI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_Toc9502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7</w:t>
          </w:r>
          <w:r>
            <w:rPr>
              <w:sz w:val="24"/>
              <w:szCs w:val="24"/>
            </w:rPr>
            <w:fldChar w:fldCharType="end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end"/>
          </w:r>
        </w:p>
        <w:p>
          <w:pPr>
            <w:pStyle w:val="22"/>
            <w:tabs>
              <w:tab w:val="right" w:leader="dot" w:pos="9072"/>
              <w:tab w:val="clear" w:pos="660"/>
              <w:tab w:val="clear" w:pos="9062"/>
            </w:tabs>
            <w:spacing w:line="360" w:lineRule="auto"/>
            <w:rPr>
              <w:sz w:val="24"/>
              <w:szCs w:val="24"/>
            </w:rPr>
          </w:pP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begin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instrText xml:space="preserve"> HYPERLINK \l _Toc20190 </w:instrText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fldChar w:fldCharType="separate"/>
          </w:r>
          <w:r>
            <w:rPr>
              <w:rFonts w:hint="default" w:ascii="Calibri" w:hAnsi="Calibri" w:eastAsia="SimSun" w:cs="SimSun"/>
              <w:bCs/>
              <w:sz w:val="24"/>
              <w:szCs w:val="24"/>
              <w:lang w:val="pl-PL"/>
            </w:rPr>
            <w:t xml:space="preserve">2. </w:t>
          </w:r>
          <w:r>
            <w:rPr>
              <w:rFonts w:hint="default"/>
              <w:sz w:val="24"/>
              <w:szCs w:val="24"/>
              <w:lang w:val="pl-PL"/>
            </w:rPr>
            <w:t>ZAMIERZONY SPOSÓB UŻYTKOWANIA ORAZ PROGRAM UŻYTKOWY OBIEKTU BUDOWLANEGO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_Toc20190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7</w:t>
          </w:r>
          <w:r>
            <w:rPr>
              <w:sz w:val="24"/>
              <w:szCs w:val="24"/>
            </w:rPr>
            <w:fldChar w:fldCharType="end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end"/>
          </w:r>
        </w:p>
        <w:p>
          <w:pPr>
            <w:pStyle w:val="22"/>
            <w:tabs>
              <w:tab w:val="right" w:leader="dot" w:pos="9072"/>
              <w:tab w:val="clear" w:pos="660"/>
              <w:tab w:val="clear" w:pos="9062"/>
            </w:tabs>
            <w:spacing w:line="360" w:lineRule="auto"/>
            <w:rPr>
              <w:sz w:val="24"/>
              <w:szCs w:val="24"/>
            </w:rPr>
          </w:pP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begin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instrText xml:space="preserve"> HYPERLINK \l _Toc8327 </w:instrText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fldChar w:fldCharType="separate"/>
          </w:r>
          <w:r>
            <w:rPr>
              <w:rFonts w:hint="default" w:ascii="Calibri" w:hAnsi="Calibri" w:eastAsia="SimSun" w:cs="SimSun"/>
              <w:bCs/>
              <w:sz w:val="24"/>
              <w:szCs w:val="24"/>
            </w:rPr>
            <w:t xml:space="preserve">3. </w:t>
          </w:r>
          <w:r>
            <w:rPr>
              <w:rFonts w:hint="default"/>
              <w:sz w:val="24"/>
              <w:szCs w:val="24"/>
              <w:lang w:val="pl-PL"/>
            </w:rPr>
            <w:t>PLANOWANY ZAKRES PROJEKTU WNĘTRZ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_Toc8327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8</w:t>
          </w:r>
          <w:r>
            <w:rPr>
              <w:sz w:val="24"/>
              <w:szCs w:val="24"/>
            </w:rPr>
            <w:fldChar w:fldCharType="end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end"/>
          </w:r>
        </w:p>
        <w:p>
          <w:pPr>
            <w:pStyle w:val="22"/>
            <w:tabs>
              <w:tab w:val="right" w:leader="dot" w:pos="9072"/>
              <w:tab w:val="clear" w:pos="660"/>
              <w:tab w:val="clear" w:pos="9062"/>
            </w:tabs>
            <w:spacing w:line="360" w:lineRule="auto"/>
            <w:rPr>
              <w:sz w:val="24"/>
              <w:szCs w:val="24"/>
            </w:rPr>
          </w:pP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begin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instrText xml:space="preserve"> HYPERLINK \l _Toc1539 </w:instrText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fldChar w:fldCharType="separate"/>
          </w:r>
          <w:r>
            <w:rPr>
              <w:rFonts w:hint="default" w:ascii="Calibri" w:hAnsi="Calibri" w:eastAsia="SimSun" w:cs="SimSun"/>
              <w:bCs/>
              <w:sz w:val="24"/>
              <w:szCs w:val="24"/>
              <w:lang w:val="pl-PL"/>
            </w:rPr>
            <w:t xml:space="preserve">4. </w:t>
          </w:r>
          <w:r>
            <w:rPr>
              <w:rFonts w:hint="default"/>
              <w:sz w:val="24"/>
              <w:szCs w:val="24"/>
              <w:lang w:val="pl-PL"/>
            </w:rPr>
            <w:t>CHARAKTERYSTYCZNE PARAMETRY OBIEKTU BUDOWLANEGO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_Toc1539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8</w:t>
          </w:r>
          <w:r>
            <w:rPr>
              <w:sz w:val="24"/>
              <w:szCs w:val="24"/>
            </w:rPr>
            <w:fldChar w:fldCharType="end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end"/>
          </w:r>
        </w:p>
        <w:p>
          <w:pPr>
            <w:pStyle w:val="22"/>
            <w:tabs>
              <w:tab w:val="right" w:leader="dot" w:pos="9072"/>
              <w:tab w:val="clear" w:pos="660"/>
              <w:tab w:val="clear" w:pos="9062"/>
            </w:tabs>
            <w:spacing w:line="360" w:lineRule="auto"/>
            <w:rPr>
              <w:sz w:val="24"/>
              <w:szCs w:val="24"/>
            </w:rPr>
          </w:pP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begin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instrText xml:space="preserve"> HYPERLINK \l _Toc12438 </w:instrText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fldChar w:fldCharType="separate"/>
          </w:r>
          <w:r>
            <w:rPr>
              <w:rFonts w:hint="default" w:ascii="Calibri" w:hAnsi="Calibri" w:eastAsia="SimSun" w:cs="SimSun"/>
              <w:bCs/>
              <w:sz w:val="24"/>
              <w:szCs w:val="24"/>
              <w:lang w:val="pl-PL"/>
            </w:rPr>
            <w:t xml:space="preserve">5. </w:t>
          </w:r>
          <w:r>
            <w:rPr>
              <w:rFonts w:hint="default"/>
              <w:sz w:val="24"/>
              <w:szCs w:val="24"/>
              <w:lang w:val="pl-PL"/>
            </w:rPr>
            <w:t>OPIS WARUNKÓW DOSTOSOWANIA PROJEKTU WNĘTRZ DO OSÓB Z  NIEPEŁNOSPRAWNOŚCIAMI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_Toc12438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9</w:t>
          </w:r>
          <w:r>
            <w:rPr>
              <w:sz w:val="24"/>
              <w:szCs w:val="24"/>
            </w:rPr>
            <w:fldChar w:fldCharType="end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end"/>
          </w:r>
        </w:p>
        <w:p>
          <w:pPr>
            <w:pStyle w:val="22"/>
            <w:tabs>
              <w:tab w:val="right" w:leader="dot" w:pos="9072"/>
              <w:tab w:val="clear" w:pos="660"/>
              <w:tab w:val="clear" w:pos="9062"/>
            </w:tabs>
            <w:spacing w:line="360" w:lineRule="auto"/>
            <w:rPr>
              <w:sz w:val="24"/>
              <w:szCs w:val="24"/>
            </w:rPr>
          </w:pP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begin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instrText xml:space="preserve"> HYPERLINK \l _Toc8308 </w:instrText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fldChar w:fldCharType="separate"/>
          </w:r>
          <w:r>
            <w:rPr>
              <w:rFonts w:hint="default" w:ascii="Calibri" w:hAnsi="Calibri" w:eastAsia="SimSun" w:cs="SimSun"/>
              <w:bCs/>
              <w:sz w:val="24"/>
              <w:szCs w:val="24"/>
              <w:lang w:val="pl-PL"/>
            </w:rPr>
            <w:t xml:space="preserve">6. </w:t>
          </w:r>
          <w:r>
            <w:rPr>
              <w:rFonts w:hint="default"/>
              <w:sz w:val="24"/>
              <w:szCs w:val="24"/>
              <w:lang w:val="pl-PL"/>
            </w:rPr>
            <w:t>ROZWIĄZANIA BUDOWLANO-MATERIAŁOWE PRZEWIDZIANE W PROJEKCIE WNĘTRZ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_Toc8308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10</w:t>
          </w:r>
          <w:r>
            <w:rPr>
              <w:sz w:val="24"/>
              <w:szCs w:val="24"/>
            </w:rPr>
            <w:fldChar w:fldCharType="end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end"/>
          </w:r>
        </w:p>
        <w:p>
          <w:pPr>
            <w:pStyle w:val="22"/>
            <w:tabs>
              <w:tab w:val="right" w:leader="dot" w:pos="9072"/>
              <w:tab w:val="clear" w:pos="660"/>
              <w:tab w:val="clear" w:pos="9062"/>
            </w:tabs>
            <w:spacing w:line="360" w:lineRule="auto"/>
            <w:rPr>
              <w:sz w:val="24"/>
              <w:szCs w:val="24"/>
            </w:rPr>
          </w:pP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begin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instrText xml:space="preserve"> HYPERLINK \l _Toc16391 </w:instrText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sz w:val="24"/>
              <w:szCs w:val="24"/>
              <w:lang w:eastAsia="en-US"/>
            </w:rPr>
            <w:fldChar w:fldCharType="separate"/>
          </w:r>
          <w:r>
            <w:rPr>
              <w:rFonts w:hint="default" w:ascii="Calibri" w:hAnsi="Calibri" w:eastAsia="SimSun" w:cs="SimSun"/>
              <w:bCs/>
              <w:sz w:val="24"/>
              <w:szCs w:val="24"/>
              <w:lang w:val="pl-PL"/>
            </w:rPr>
            <w:t xml:space="preserve">7. </w:t>
          </w:r>
          <w:r>
            <w:rPr>
              <w:rFonts w:hint="default"/>
              <w:sz w:val="24"/>
              <w:szCs w:val="24"/>
              <w:lang w:val="pl-PL"/>
            </w:rPr>
            <w:t>ZESTAWIENIE RYSUNKÓW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_Toc16391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12</w:t>
          </w:r>
          <w:r>
            <w:rPr>
              <w:sz w:val="24"/>
              <w:szCs w:val="24"/>
            </w:rPr>
            <w:fldChar w:fldCharType="end"/>
          </w: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end"/>
          </w:r>
        </w:p>
        <w:p>
          <w:pPr>
            <w:pStyle w:val="22"/>
            <w:keepNext w:val="0"/>
            <w:keepLines w:val="0"/>
            <w:pageBreakBefore w:val="0"/>
            <w:widowControl/>
            <w:tabs>
              <w:tab w:val="right" w:leader="dot" w:pos="9072"/>
              <w:tab w:val="clear" w:pos="660"/>
              <w:tab w:val="clear" w:pos="906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hAnsi="Arial" w:eastAsia="Calibri" w:cs="Verdana" w:asciiTheme="minorAscii"/>
              <w:b/>
              <w:bCs/>
              <w:i/>
              <w:iCs/>
              <w:caps w:val="0"/>
              <w:smallCaps/>
              <w:color w:val="auto"/>
              <w:sz w:val="24"/>
              <w:szCs w:val="22"/>
              <w:lang w:eastAsia="en-US"/>
            </w:rPr>
          </w:pPr>
          <w:r>
            <w:rPr>
              <w:rFonts w:hint="default" w:hAnsi="Arial" w:eastAsia="Calibri" w:cs="Verdana" w:asciiTheme="minorAscii"/>
              <w:bCs w:val="0"/>
              <w:i/>
              <w:iCs/>
              <w:caps w:val="0"/>
              <w:smallCaps/>
              <w:color w:val="auto"/>
              <w:sz w:val="24"/>
              <w:szCs w:val="24"/>
              <w:lang w:eastAsia="en-US"/>
            </w:rPr>
            <w:fldChar w:fldCharType="end"/>
          </w:r>
        </w:p>
      </w:sdtContent>
    </w:sdt>
    <w:p>
      <w:pPr>
        <w:bidi w:val="0"/>
        <w:rPr>
          <w:rFonts w:hint="default"/>
          <w:lang w:val="pl-PL"/>
        </w:rPr>
      </w:pPr>
      <w:bookmarkStart w:id="1" w:name="_Toc25116"/>
      <w:bookmarkStart w:id="2" w:name="_Toc7769"/>
      <w:bookmarkStart w:id="3" w:name="_Toc366106895"/>
    </w:p>
    <w:p>
      <w:pPr>
        <w:bidi w:val="0"/>
        <w:rPr>
          <w:rFonts w:hint="default"/>
          <w:lang w:val="pl-PL"/>
        </w:rPr>
      </w:pPr>
    </w:p>
    <w:p>
      <w:pPr>
        <w:bidi w:val="0"/>
        <w:rPr>
          <w:rFonts w:hint="default"/>
          <w:lang w:val="pl-PL"/>
        </w:rPr>
      </w:pPr>
    </w:p>
    <w:p>
      <w:pPr>
        <w:bidi w:val="0"/>
        <w:rPr>
          <w:rFonts w:hint="default"/>
          <w:lang w:val="pl-PL"/>
        </w:rPr>
      </w:pPr>
      <w:r>
        <w:rPr>
          <w:rFonts w:hint="default"/>
          <w:lang w:val="pl-PL"/>
        </w:rPr>
        <w:br w:type="textWrapping"/>
      </w:r>
    </w:p>
    <w:p>
      <w:pPr>
        <w:rPr>
          <w:rFonts w:hint="default"/>
          <w:lang w:val="pl-PL"/>
        </w:rPr>
      </w:pPr>
      <w:r>
        <w:rPr>
          <w:rFonts w:hint="default"/>
          <w:lang w:val="pl-PL"/>
        </w:rPr>
        <w:br w:type="page"/>
      </w:r>
    </w:p>
    <w:p>
      <w:pPr>
        <w:bidi w:val="0"/>
        <w:rPr>
          <w:rFonts w:hint="default"/>
          <w:lang w:val="pl-PL"/>
        </w:rPr>
      </w:pPr>
      <w:r>
        <w:rPr>
          <w:rFonts w:hint="default"/>
          <w:lang w:val="pl-PL"/>
        </w:rPr>
        <w:t>UWAGI OGÓLNE:</w:t>
      </w:r>
      <w:bookmarkEnd w:id="1"/>
      <w:bookmarkEnd w:id="2"/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pl-PL"/>
        </w:rPr>
      </w:pPr>
      <w:r>
        <w:rPr>
          <w:rFonts w:hint="default"/>
          <w:lang w:val="pl-PL"/>
        </w:rPr>
        <w:t>Niniejsza dokumentacja jest projektem wykonawczym wnętrz. Dobór materiałów, systemów i rozwiązań, a także kolorów, faktur i innych parametrów wizualnych niewyspecyfikowanych, może ulec sprecyzowaniu przez inwestora na podstawie np. wykonanych rysunków i  dokumentów dostarczonych przez wykonawcę lub w dokumentacji wykonawczej.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pl-PL"/>
        </w:rPr>
      </w:pPr>
      <w:r>
        <w:rPr>
          <w:rFonts w:hint="default"/>
          <w:lang w:val="pl-PL"/>
        </w:rPr>
        <w:t>Dane podane w specyfikacji (np. wszelkie parametry) są minimalnymi, wymaganymi wartościami.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pl-PL"/>
        </w:rPr>
      </w:pPr>
      <w:r>
        <w:rPr>
          <w:rFonts w:hint="default"/>
          <w:lang w:val="pl-PL"/>
        </w:rPr>
        <w:t>Opis techniczny jest integralną częścią projektu. Rozbieżności pomiędzy częścią rysunkową i specyfikacją rozstrzygnięte zostaną w trybie nadzorów lub w innym ustalonym przez Wykonawcę i Architekta.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pl-PL"/>
        </w:rPr>
      </w:pPr>
      <w:r>
        <w:rPr>
          <w:rFonts w:hint="default"/>
          <w:lang w:val="pl-PL"/>
        </w:rPr>
        <w:t>Należy pracować tylko na podstawie wymiarów podanych na rysunku; przed przystąpieniem do robót Wykonawca powinien sprawdzić na budowie  wszystkie rzędne wysokościowe oraz wymiary poziome; rozwiązania wynikające z różnic wymiarów podanych na rysunku i wymiarów rzeczywistych należy uzgodnić z Projektantem.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pl-PL"/>
        </w:rPr>
      </w:pPr>
      <w:r>
        <w:rPr>
          <w:rFonts w:hint="default"/>
          <w:lang w:val="pl-PL"/>
        </w:rPr>
        <w:t>Wszystkie prace należy wykonywać, a specyfikowane materiały stosować zgodnie z właściwymi regulacjami prawnymi i normatywnymi oraz zgodnie ze sztuką budowlaną.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pl-PL"/>
        </w:rPr>
      </w:pPr>
      <w:r>
        <w:rPr>
          <w:rFonts w:hint="default"/>
          <w:lang w:val="pl-PL"/>
        </w:rPr>
        <w:t>Wskazane produkty należy rozumieć jako komplet elementów i dodatków niezbędnych do właściwego montażu oraz ich poprawnego funkcjonowania zgodnie z zaleceniami producentów.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Wszystkie prace przygotowawcze, podstawowe, wykończeniowe, użytkowe, eksploatacyjne i konserwacyjne, związane z zastosowaniem wskazanych produktów, należy wykonywać zgodnie z instrukcjami, procedurami i metodami wymaganymi i przewidzianymi przez producentów danych produktów i powinny być poprzedzone zapoznaniem się przez Wykonawcę z właściwymi kartami katalogowymi i instrukcjami producentów.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Lokalizacja końcówek instalacji na podstawie projektów branż instalacyjnych.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color w:val="auto"/>
          <w:lang w:val="en-US"/>
        </w:rPr>
      </w:pPr>
      <w:r>
        <w:rPr>
          <w:rFonts w:hint="default"/>
          <w:color w:val="auto"/>
          <w:lang w:val="pl-PL"/>
        </w:rPr>
        <w:t>Wykonawca przed przystąpieniem do prac zobowiązany jest do przedstawienia do akceptacji projektanta dokumentacji warsztatowej ELEMENTÓW ZASTOSOWANYCH W PROJEKCIE.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Wszystkie roboty muszą być prowadzone przez wyspecjalizowane ekipy montażowe pod nadzorem uprawnionego inżyniera.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Przed przystąpieniem do robót budowlanych związanych z przedmiotową inwestycją należy zapoznać się z całością dokumentacji (ekspertyzy techniczne, projekty branżowe).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Wszelkie wyspecyfikowane materiały, systemy, elementy, wyposażenie, etc. należy traktować jako obowiązujące do zastosowania. Jeżeli nie wyspecyfikowano konkretnego materiału lub producenta, Generalny Wykonawca jest proszony o przedstawienie swojej propozycji, nie odbiegającej od ogólnie przyjętego standardu i podanych wskaźników i parametrów.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color w:val="auto"/>
          <w:lang w:val="en-US"/>
        </w:rPr>
      </w:pPr>
      <w:r>
        <w:rPr>
          <w:rFonts w:hint="default"/>
          <w:color w:val="auto"/>
          <w:lang w:val="pl-PL"/>
        </w:rPr>
        <w:t>Wszystkie materiały wykończeniowe przed zakupem należy uzgodnić z Projektantem. Wszelkie zmiany materiałowe wymagają akceptacji Projektanta i Inwestora. Wykonawca zobowiązany jest do przedstawienia pełnej dokumentacji warsztatowej zamiennika do akceptacji Inwestora i Projektanta.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Zakłada się, że połączenie różnych technologii, systemów, rozwiązań różnych wykonawców zostaną rozpoznane, uzgodnione i zostanie opracowane wspólne, spójne rozwiązanie, akceptowane przez wszystkie strony, przed przystąpieniem do realizacji. Zakłada się, że Wykonawca / Producent / Dostawca przedstawią zestaw wszystkich prac, które nie znajdują się w zakresie ich opracowania, a mają wpływ na wykonanie zadania.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Wszystkie załączniki formalne dotyczące inwestycji zamieszczone zostały w projekcie budowlanym.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Wszelkie roboty mogą być prowadzone jedynie w oparciu o rysunki i opisy dokumentacji wykonawczej obiektu, zgodnie z warunkami technicznymi wykonania i odbioru robót oraz zgodnie z  wymogami Producenta materiałów i wyrobów.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Należy stosować się do ogólnych wytycznych do Projektu zawartych w rysunku legendy oraz w opisie do projektu.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Przed rozpoczęciem robót, w terminie niewpływającym na realizację harmonogramu prac, Wykonawca sprawdzi i zgłosi ewentualne uwagi do całości dokumentacji wykonawczej pod kątem czytelności i prawidłowości przyjętych rozwiązań oraz jej koordynacji międzybranżowej (włącznie z uwzględnieniem uwag i wytycznych zawartych m.in. w częściach opisowych, projektach zabezpieczenia i odwodnienia wykopów, zabezpieczenia budynków sąsiednich (jeżeli takie istnieją), inwentaryzacji i gospodarce zielenią itp.), a o wszelkich zauważonych nieprawidłowościach powiadomi Nadzór Autorski i Inwestorski Nadzór Budowy, przed rozpoczęciem realizacji danego zakresu robót. Zgłoszenie rozbieżności w ramach dokumentacji, w trakcie lub po wykonaniu danego zakresu robót nie może być powodem do jakichkolwiek roszczeń Wykonawcy.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 przypadku wykrycia błędów lub opuszczeń w dokumentacji wykonawczej Wykonawca powinien natychmiast powiadomić o tym Projektanta i Inwestora oraz wstrzymać się z realizacją tych robót do momentu wyjaśnienia.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Wszelkie roboty muszą być wykonywane zgodnie z przepisami obowiązującymi w Polsce. W miejscach, w których w projekcie nie są dokładnie sprecyzowane standardy materiałów i robót należy stosować wymagania odpowiednich norm i przepisów. W miejscach, w których dokumentacja wykonawcza stawia wymagania ostrzejsze od normowych, obowiązują wymagania określone w dokumentacji wykonawczej lub uzgodnione z Projektantem i Inwestorem.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Stosowane materiały i wyroby muszą posiadać własne polskie atesty, aprobaty techniczne lub świadectwa dopuszczenia uzupełnione deklaracją producenta o  zgodności wyrobu z aprobatą. Dopuszcza się (po otrzymaniu pisemnej zgody Projektanta, Inwestora i Inwestorskiego Nadzoru Budowy) na stosowanie produktów posiadających jednorazowe świadectwo dopuszczenia, które w sposób jednoznaczny musi być odniesione do inwestycji będącej przedmiotem niniejszego projektu. Uzyskanie odpowiednich dokumentów leży w zakresie obowiązków Wykonawcy. W przypadku, jeśli produkt, wskazany przez Architekta jako „marka referencyjna” lub „np.” nie posiada atestów, Wykonawca powiadomi o tym Inwestorski Nadzór Budowy i Nadzór Autorski. Zabrania się dokonywania nieuzgodnionych zmian stosowanych materiałów i wyrobów.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Zamiana wyrobów opisanych jako „marka referencyjna” lub „np.” na równoważne podlega każdorazowemu uzgodnieniu. Wykonawca, dokonujący tej zmiany bez uzgodnienia z Nadzorem Autorskim i Inwestorem, potwierdzonej na piśmie, musi liczyć się z koniecznością demontażu i wykonania rozbiórek na swój koszt.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Wszelkie koszty związane z wprowadzeniem zamiennego rozwiązania projektowego na wniosek Wykonawcy obciążają wnioskodawcę zmiany - chyba, że nastąpi osobne porozumienie.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We wszystkich przypadkach, w których w Projekcie Wykonawczym zastrzeżony został dla Architekta ostateczny wybór materiału, wyrobu, wzoru, koloru, faktury lub akceptacja próbki wyrobu albo sposobu wykonania, Wykonawca zobowiązany jest zaprezentować, bez wezwania, odpowiednie propozycje w takim terminie, aby decyzja Architekta nie mogła skutkować opóźnieniem w składaniu zamówień i prowadzeniu robót. Do przedstawionych propozycji Wykonawcy Architekt odniesie się w terminie 14 dni od daty ich przedłożenia, zaś w przypadkach skomplikowanych, wymagających np. uzgodnień lub opinii wielobranżowych lub urzędowych termin ten może ulec wydłużeniu. Nie dopuszcza się akceptacji rozwiązań nie spełniających wymagań Inwestora lub Projektanta, nawet w przypadku, gdy brak akceptacji wpływa na przesunięcie terminu realizacji inwestycji.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Nie dopuszcza się rozwiązań nie spełniających wymagań Inwestora i Projektanta.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Materiały elewacyjne, wykończeniowe i wszelkie widoczne akcesoria instalacyjne, nawet jeśli są zgodne z marką referencyjną, będą przed ich wybudowaniem przedstawione Architektowi w celu uzyskania akceptacji.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Próbki do akceptacji należy przedstawić w trzech identycznych egzemplarzach. Jeden z  nich będzie przechowywany w biurze budowy, dostępny dla nadzoru, drugi pozostanie w biurze Architekta w celu umożliwienia mu rozpatrywania zależności kolorów i faktur pomiędzy materiałami, co do których podjęto już decyzję i tymi, co do których należy ją właśnie podjąć. Dopuszczalne jest również istnienie jednego egzemplarza, dostępnego dla stron w biurze budowy, dla próbek, których ciężar i gabaryty utrudniają ich transport.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Sposób kwalifikacji próbek, sposób i zakres wykonania dokumentacji warsztatowej i  technologii, prac budowlanych oraz procedura ich akceptacji zostanie określona na etapie Nadzoru Autorskiego przy udziale Inwestora.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We wszystkich przypadkach, w których w dokumentacji wskazano na konieczność wykonania przez Wykonawcę rysunków warsztatowych lub wykonawczych do akceptacji Architekta i Inwestora (nie mylić z wykonawczą dokumentacją architektoniczną), a także w tych, w których zgodnie z doświadczeniem i wiedzą techniczną Wykonawcy wykonanie i uzgodnienie takiej dokumentacji jest niezbędne m.in. aby móc wykonać dany element lub fragment obiektu, przedłoży on ją do uzgodnienia  bez wezwania, w  takim terminie, aby decyzją Architekta i Inwestora nie mogło skutkować opóźnieniem w składaniu zamówień i prowadzeniu robót. Do przedstawionych propozycji Wykonawcy Architekt odniesie się w terminie 14 dni od daty ich przedłożenia, zaś w przypadkach skomplikowanych, wymagających np. uzgodnień lub opinii wielobranżowych lub urzędowych termin ten może ulec wydłużeniu.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Inwestor lub Projektant ma prawo zażądać od Wykonawcy sporządzenia rysunków warsztatowych dla wybranego elementu, grupy elementów lub technologii.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Zmiana przyjętych w Projekcie rozwiązań wymaga zgody zarówno Inwestora jak i  Projektanta.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Lokalizację i wymiary wszystkich przebić i otworów należy potwierdzić na rysunkach konstrukcyjnych, instalacyjnych, aranżacji wnętrz i detalach. W razie niespójności Wykonawca ma obowiązek poinformować o zaistniałej sytuacji Nadzór Autorski zanim przystąpi do robót lub zamówień materiałów.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Wszelkie przejścia instalacji przez przegrody, będące oddzieleniem stref pożarowych, uszczelnić wg wytycznych w Projektach Branżowych i zgodnie z warunkami ochrony ppoż., zawartymi w Projekcie Budowlanym tak, aby nie zmniejszyć ich odporności ogniowej.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Przed wykonaniem ścian, sprawdzić w dokumentacji wykonawczej i Projekcie Budowlanym ich odporność ogniową i upewnić się, że przewidywany sposób wykonania zapewnia uzyskanie zakładanej odporności.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Opisy drzwi stanowią informację o minimalnych wymiarach otworu w świetle przejścia, włącznie z z uwzględnieniem grubości skrzydła drzwi otwartego do kąta 90 stopni. Wykonawca zanim przystąpi do wykonywania stanu surowego jest zobowiązany do zweryfikowania wymiarów wszystkich otworów drzwiowych w świetle konstrukcji pod kątem wyboru konkretnego producenta.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Pochwyty wszystkich balustrad montowane min. 110 cm nad wykończoną posadzką lub od elementu, na którym można oprzeć stopę. Wysokość balustrad może być większa niż 110 cm wg rysunków elewacji i rysunków szczegółowych (detali).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>Wszelkie elementy wykończeniowe części wspólnych, należy skoordynować z Projektem Wnętrz, Architektury i Projektami wszystkich branż oraz ustalić z Nadzorem Autorskim przed rozpoczęciem zamówień materiałów i przed rozpoczęciem robót.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Wykonawca stolarki, ślusarki okiennej i drzwiowej, Wykonawca balustrad oraz Wykonawcy innych elementów w budynku są zobowiązani do sprawdzenia wymiarów w naturze, ze względu na możliwość powstania rozbieżności wymiarowych wykonanych elementów budowlanych w stosunku do ich wymiarów zakładanych w projekcie.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Rysunki należy rozpatrywać łącznie z częścią opisową i wszystkimi projektami branżowymi.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 przypadku rozbieżności wymiarowych pomiędzy rysunkami detali i rysunkami ogólnymi projektowanego elementu, taką rozbieżność należy zgłosić Architektowi przed przystąpieniem do zamawiania materiałów i urządzeń oraz przed rozpoczęciem robót. 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/>
        </w:rPr>
      </w:pPr>
      <w:r>
        <w:rPr>
          <w:rFonts w:hint="default"/>
          <w:lang w:val="pl-PL"/>
        </w:rPr>
        <w:t xml:space="preserve">W przypadku dostarczenia rysunku zamiennego, rysunek niniejszy traci ważność a  Projektant, Wykonawca i Inspektor Nadzoru dokonują wspólnie korekty ewidencji rysunków w swoich Zbiorach dokumentacji. </w:t>
      </w:r>
    </w:p>
    <w:p>
      <w:pPr>
        <w:numPr>
          <w:ilvl w:val="0"/>
          <w:numId w:val="3"/>
        </w:numPr>
        <w:bidi w:val="0"/>
        <w:ind w:left="425" w:leftChars="0" w:hanging="425" w:firstLineChars="0"/>
      </w:pPr>
      <w:r>
        <w:rPr>
          <w:rFonts w:hint="default"/>
          <w:lang w:val="pl-PL"/>
        </w:rPr>
        <w:t xml:space="preserve">Rozwiązania systemowe należy wykonywać ściśle wg zaleceń technologii producenta. </w:t>
      </w:r>
    </w:p>
    <w:p>
      <w:pPr>
        <w:numPr>
          <w:ilvl w:val="0"/>
          <w:numId w:val="3"/>
        </w:numPr>
        <w:bidi w:val="0"/>
        <w:ind w:left="425" w:leftChars="0" w:hanging="425" w:firstLineChars="0"/>
      </w:pPr>
      <w:r>
        <w:rPr>
          <w:rFonts w:hint="default"/>
          <w:lang w:val="pl-PL"/>
        </w:rPr>
        <w:t>Konstrukcja szybów windowych oraz osprzętu wymaga weryfikacji po ostatecznym wyborze przez Inwestora dostawcy dźwigów osobowych. Prace budowlane związane z  wykonaniem w/w szybów mogą rozpocząć po weryfikacji dokumentacji projektowej w  tym zakresie przez Wykonawcę i otrzymaniu akceptacji Inwestora i Projektanta.</w:t>
      </w:r>
    </w:p>
    <w:p>
      <w:pPr>
        <w:numPr>
          <w:ilvl w:val="0"/>
          <w:numId w:val="3"/>
        </w:numPr>
        <w:bidi w:val="0"/>
        <w:ind w:left="425" w:leftChars="0" w:hanging="425" w:firstLineChars="0"/>
      </w:pPr>
      <w:r>
        <w:t>Zasady określania równoważności urządzeń i uzbrojenia w stosunku do zaprojektowanych przykładowo w niniejszej dokumentacji.</w:t>
      </w:r>
    </w:p>
    <w:p>
      <w:pPr>
        <w:numPr>
          <w:ilvl w:val="0"/>
          <w:numId w:val="3"/>
        </w:numPr>
        <w:bidi w:val="0"/>
        <w:ind w:left="425" w:leftChars="0" w:hanging="425" w:firstLineChars="0"/>
      </w:pPr>
      <w:r>
        <w:t>Użyte w dokumentacji projektowej nazwy własne (producent, typ,</w:t>
      </w:r>
      <w:r>
        <w:rPr>
          <w:rFonts w:hint="default"/>
          <w:lang w:val="pl-PL"/>
        </w:rPr>
        <w:t xml:space="preserve"> </w:t>
      </w:r>
      <w:r>
        <w:t xml:space="preserve">oznaczenie producenta) należy traktować wyłącznie jako przykładowe i jedynie </w:t>
      </w:r>
      <w:r>
        <w:tab/>
      </w:r>
      <w:r>
        <w:t xml:space="preserve">pomocne w pracach projektowych. Użyte nazwy własne dopuszcza się zamienić </w:t>
      </w:r>
      <w:r>
        <w:tab/>
      </w:r>
      <w:r>
        <w:t>innymi równoważnymi urządzeniami</w:t>
      </w:r>
      <w:r>
        <w:rPr>
          <w:rFonts w:hint="default"/>
          <w:lang w:val="pl-PL"/>
        </w:rPr>
        <w:t xml:space="preserve">, produktami </w:t>
      </w:r>
      <w:r>
        <w:t xml:space="preserve">i uzbrojeniem. </w:t>
      </w:r>
    </w:p>
    <w:p>
      <w:pPr>
        <w:numPr>
          <w:ilvl w:val="0"/>
          <w:numId w:val="3"/>
        </w:numPr>
        <w:bidi w:val="0"/>
        <w:ind w:left="425" w:leftChars="0" w:hanging="425" w:firstLineChars="0"/>
      </w:pPr>
      <w:r>
        <w:t>Parametry, będące podstawą do określania równoważności są podawane przy wybranych urządzeniach wymienionych w dalszej części dokumentacji.</w:t>
      </w:r>
    </w:p>
    <w:p>
      <w:pPr>
        <w:numPr>
          <w:ilvl w:val="0"/>
          <w:numId w:val="3"/>
        </w:numPr>
        <w:bidi w:val="0"/>
        <w:ind w:left="425" w:leftChars="0" w:hanging="425" w:firstLineChars="0"/>
      </w:pPr>
      <w:r>
        <w:t>Zgodnie z obowiązującymi przepisami można stosować urządzenia</w:t>
      </w:r>
      <w:r>
        <w:rPr>
          <w:rFonts w:hint="default"/>
          <w:lang w:val="pl-PL"/>
        </w:rPr>
        <w:t>, produkty</w:t>
      </w:r>
      <w:r>
        <w:t xml:space="preserve"> i  uzbrojenie zamienne w odniesieniu do użytych w dokumentacji pod warunkiem, że ich parametr</w:t>
      </w:r>
      <w:r>
        <w:rPr>
          <w:rFonts w:hint="default"/>
          <w:lang w:val="pl-PL"/>
        </w:rPr>
        <w:t xml:space="preserve">y </w:t>
      </w:r>
      <w:r>
        <w:t>będą nie gorsze i co najmniej równe parametrom</w:t>
      </w:r>
      <w:r>
        <w:rPr>
          <w:rFonts w:hint="default"/>
          <w:lang w:val="pl-PL"/>
        </w:rPr>
        <w:t xml:space="preserve"> </w:t>
      </w:r>
      <w:r>
        <w:t>przytoczonym</w:t>
      </w:r>
      <w:r>
        <w:rPr>
          <w:rFonts w:hint="default"/>
          <w:lang w:val="pl-PL"/>
        </w:rPr>
        <w:t xml:space="preserve"> </w:t>
      </w:r>
      <w:r>
        <w:t>w</w:t>
      </w:r>
      <w:r>
        <w:rPr>
          <w:rFonts w:hint="default"/>
          <w:lang w:val="pl-PL"/>
        </w:rPr>
        <w:t xml:space="preserve"> </w:t>
      </w:r>
      <w:r>
        <w:t>niniejszej dokumentacji.</w:t>
      </w:r>
    </w:p>
    <w:p>
      <w:pPr>
        <w:numPr>
          <w:ilvl w:val="0"/>
          <w:numId w:val="3"/>
        </w:numPr>
        <w:bidi w:val="0"/>
        <w:ind w:left="425" w:leftChars="0" w:hanging="425" w:firstLineChars="0"/>
      </w:pPr>
      <w:r>
        <w:t>Prototypy urządzeń nie mogą być uważane za równoważne.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b/>
          <w:color w:val="4F81BD" w:themeColor="accent1"/>
          <w:sz w:val="20"/>
          <w:szCs w:val="20"/>
          <w14:textFill>
            <w14:solidFill>
              <w14:schemeClr w14:val="accent1"/>
            </w14:solidFill>
          </w14:textFill>
        </w:rPr>
      </w:pPr>
      <w:r>
        <w:rPr>
          <w:rFonts w:hint="default"/>
          <w:lang w:val="pl-PL"/>
        </w:rPr>
        <w:t>P</w:t>
      </w:r>
      <w:r>
        <w:rPr>
          <w:rFonts w:hint="default"/>
        </w:rPr>
        <w:t>rzed zakończeniem prac i rozpoczęciem użytkowania obiektu opracowana zostanie Instrukcja bezpieczeństwa pożarowego dla obiektu, zgodna z rozporządzeniem Ministra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Rozporządzenia Ministra Spraw Wewnętrznych i Administracji z dnia 7 czerwca 2010 r. w</w:t>
      </w:r>
      <w:r>
        <w:rPr>
          <w:rFonts w:hint="default"/>
          <w:lang w:val="pl-PL"/>
        </w:rPr>
        <w:t xml:space="preserve">  </w:t>
      </w:r>
      <w:r>
        <w:rPr>
          <w:rFonts w:hint="default"/>
        </w:rPr>
        <w:t>sprawie ochrony przeciwpożarowej budynków, innych obiektów budowlanych i terenów (Dz.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U. nr 109, poz.719), zawierająca m.in. wymagania ochrony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przeciwpożarowe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wynikające z przeznaczenia obiektu, sposobu użytkowania i jego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warunków technicznych, w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tym zagrożenia wybuchem, zasady prowadzenia przeglądów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technicznych i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czynności konserwacyjnych stosowanych w obiekcie urządzeń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przeciwpożarowych i gaśnic, zasady postępowania na wypadek pożaru i innego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zagrożenia,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zasady praktycznego sprawdzania organizacji i warunków ewakuacji ludzi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oraz</w:t>
      </w:r>
      <w:r>
        <w:rPr>
          <w:rFonts w:hint="default"/>
          <w:lang w:val="pl-PL"/>
        </w:rPr>
        <w:t xml:space="preserve"> </w:t>
      </w:r>
      <w:r>
        <w:rPr>
          <w:rFonts w:hint="default"/>
        </w:rPr>
        <w:t>zasady i sposoby zaznajamiania użytkowników obiektu z treścią przedmiotowej instrukcji oraz z przepisami przeciwpożarowymi.</w:t>
      </w:r>
    </w:p>
    <w:p>
      <w:pPr>
        <w:numPr>
          <w:ilvl w:val="0"/>
          <w:numId w:val="0"/>
        </w:numPr>
        <w:bidi w:val="0"/>
        <w:ind w:leftChars="0"/>
        <w:rPr>
          <w:rFonts w:hint="default"/>
        </w:rPr>
      </w:pPr>
    </w:p>
    <w:p>
      <w:pPr>
        <w:rPr>
          <w:rFonts w:hint="default"/>
        </w:rPr>
      </w:pPr>
      <w:r>
        <w:rPr>
          <w:rFonts w:hint="default"/>
        </w:rPr>
        <w:br w:type="page"/>
      </w:r>
    </w:p>
    <w:p>
      <w:pPr>
        <w:pStyle w:val="2"/>
        <w:numPr>
          <w:ilvl w:val="0"/>
          <w:numId w:val="0"/>
        </w:numPr>
        <w:bidi w:val="0"/>
        <w:ind w:leftChars="0"/>
        <w:rPr>
          <w:rFonts w:hint="default"/>
          <w:lang w:val="pl-PL"/>
        </w:rPr>
      </w:pPr>
      <w:bookmarkStart w:id="4" w:name="_Toc392944887"/>
      <w:bookmarkStart w:id="5" w:name="_Toc28618"/>
      <w:bookmarkStart w:id="6" w:name="_Toc12950"/>
      <w:bookmarkStart w:id="7" w:name="_Toc27541"/>
      <w:r>
        <w:t>PODSTAWA PRAWNA</w:t>
      </w:r>
      <w:bookmarkEnd w:id="3"/>
      <w:bookmarkEnd w:id="4"/>
      <w:r>
        <w:rPr>
          <w:rFonts w:hint="default"/>
          <w:lang w:val="pl-PL"/>
        </w:rPr>
        <w:t xml:space="preserve"> I UWAGI</w:t>
      </w:r>
      <w:bookmarkEnd w:id="5"/>
      <w:bookmarkEnd w:id="6"/>
      <w:bookmarkEnd w:id="7"/>
    </w:p>
    <w:p>
      <w:pPr>
        <w:pStyle w:val="25"/>
        <w:ind w:right="2549"/>
        <w:rPr>
          <w:b/>
          <w:i/>
          <w:caps/>
          <w:sz w:val="16"/>
          <w:szCs w:val="16"/>
        </w:rPr>
      </w:pPr>
    </w:p>
    <w:p>
      <w:pPr>
        <w:pStyle w:val="27"/>
        <w:numPr>
          <w:ilvl w:val="0"/>
          <w:numId w:val="4"/>
        </w:numPr>
        <w:spacing w:line="276" w:lineRule="auto"/>
        <w:jc w:val="both"/>
      </w:pPr>
      <w:r>
        <w:rPr>
          <w:sz w:val="24"/>
          <w:szCs w:val="24"/>
          <w:lang w:eastAsia="ar-SA"/>
        </w:rPr>
        <w:t>Zlecenie Inwestora.</w:t>
      </w:r>
    </w:p>
    <w:p>
      <w:pPr>
        <w:pStyle w:val="27"/>
        <w:numPr>
          <w:ilvl w:val="0"/>
          <w:numId w:val="4"/>
        </w:numPr>
        <w:spacing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Wizja terenowa.</w:t>
      </w:r>
    </w:p>
    <w:p>
      <w:pPr>
        <w:pStyle w:val="27"/>
        <w:numPr>
          <w:ilvl w:val="0"/>
          <w:numId w:val="4"/>
        </w:numPr>
        <w:spacing w:line="276" w:lineRule="auto"/>
        <w:jc w:val="both"/>
        <w:rPr>
          <w:sz w:val="24"/>
          <w:szCs w:val="24"/>
          <w:lang w:eastAsia="ar-SA"/>
        </w:rPr>
      </w:pPr>
      <w:r>
        <w:rPr>
          <w:rFonts w:hint="default"/>
          <w:sz w:val="24"/>
          <w:szCs w:val="24"/>
          <w:lang w:val="pl-PL" w:eastAsia="ar-SA"/>
        </w:rPr>
        <w:t>Inwentaryzacja architektoniczno-budowlana - pomiary własne.</w:t>
      </w:r>
    </w:p>
    <w:p>
      <w:pPr>
        <w:pStyle w:val="27"/>
        <w:spacing w:after="120" w:afterLines="50" w:line="276" w:lineRule="auto"/>
        <w:jc w:val="both"/>
        <w:rPr>
          <w:b/>
          <w:bCs/>
          <w:sz w:val="24"/>
          <w:szCs w:val="24"/>
          <w:u w:val="single"/>
        </w:rPr>
      </w:pPr>
    </w:p>
    <w:p>
      <w:pPr>
        <w:bidi w:val="0"/>
        <w:ind w:firstLine="708" w:firstLineChars="0"/>
      </w:pPr>
      <w:r>
        <w:t xml:space="preserve">Dokumentacja wykonana jest w formie właściwej dla standardów odpowiadających projektom </w:t>
      </w:r>
      <w:r>
        <w:rPr>
          <w:rFonts w:hint="default"/>
          <w:lang w:val="pl-PL"/>
        </w:rPr>
        <w:t>wnętrz</w:t>
      </w:r>
      <w:r>
        <w:t xml:space="preserve"> i zawiera niezbędne informacje z zakresu architektury</w:t>
      </w:r>
      <w:r>
        <w:rPr>
          <w:rFonts w:hint="default"/>
          <w:lang w:val="pl-PL"/>
        </w:rPr>
        <w:t xml:space="preserve"> wnętrz</w:t>
      </w:r>
      <w:r>
        <w:t>.</w:t>
      </w:r>
      <w:r>
        <w:rPr>
          <w:rFonts w:hint="default"/>
          <w:lang w:val="pl-PL"/>
        </w:rPr>
        <w:t xml:space="preserve"> </w:t>
      </w:r>
      <w:r>
        <w:t>Wszystkie materiały stosowane do wykonania w obiek</w:t>
      </w:r>
      <w:r>
        <w:rPr>
          <w:lang w:val="pl-PL"/>
        </w:rPr>
        <w:t>cie</w:t>
      </w:r>
      <w:r>
        <w:t xml:space="preserve"> należy wbudować zgodnie z technologią stosowania podaną przez producenta. W razie jakichkolwiek wątpliwości należy skontaktować się z producentem danego wyrobu. Projekt </w:t>
      </w:r>
      <w:r>
        <w:rPr>
          <w:rFonts w:hint="default"/>
          <w:lang w:val="pl-PL"/>
        </w:rPr>
        <w:t>wnętrz</w:t>
      </w:r>
      <w:r>
        <w:t xml:space="preserve"> należy rozpatrywać zawsze i bezwzględnie wraz z projektami branżowymi</w:t>
      </w:r>
      <w:r>
        <w:rPr>
          <w:rFonts w:hint="default"/>
          <w:lang w:val="pl-PL"/>
        </w:rPr>
        <w:t xml:space="preserve"> (jeżeli takie podlegają opracowaniu)</w:t>
      </w:r>
      <w:r>
        <w:t>. W razie ewentualnych rozbieżności pomiędzy branżami oraz przyjętymi rozwiązaniami należy poinformować projektanta w celu podjęcia odpowiednich działań i uzgodnienia rozwiązań.</w:t>
      </w:r>
    </w:p>
    <w:p>
      <w:pPr>
        <w:bidi w:val="0"/>
        <w:ind w:firstLine="708" w:firstLineChars="0"/>
      </w:pPr>
      <w:r>
        <w:t>Roboty należy wykonywać zgodnie z warunkami technicznymi odbioru robót</w:t>
      </w:r>
      <w:r>
        <w:rPr>
          <w:rFonts w:hint="default"/>
          <w:lang w:val="pl-PL"/>
        </w:rPr>
        <w:t xml:space="preserve"> </w:t>
      </w:r>
      <w:r>
        <w:t>budowlano-montażowych, przepisami prawa budowlanego, przepisami BHP i p.poż. oraz pod stałym nadzorem osób posia</w:t>
      </w:r>
      <w:r>
        <w:softHyphen/>
      </w:r>
      <w:r>
        <w:t>dających wymagane prawem kwalifikacje zawodowe</w:t>
      </w:r>
      <w:r>
        <w:rPr>
          <w:lang w:val="pl-PL"/>
        </w:rPr>
        <w:t>.</w:t>
      </w:r>
    </w:p>
    <w:p>
      <w:pPr>
        <w:pStyle w:val="25"/>
        <w:spacing w:line="276" w:lineRule="auto"/>
        <w:jc w:val="both"/>
        <w:rPr>
          <w:sz w:val="13"/>
          <w:szCs w:val="13"/>
        </w:rPr>
      </w:pPr>
    </w:p>
    <w:p>
      <w:pPr>
        <w:pStyle w:val="2"/>
        <w:bidi w:val="0"/>
        <w:rPr>
          <w:rFonts w:hint="default"/>
          <w:b/>
          <w:bCs/>
          <w:lang w:val="pl-PL"/>
        </w:rPr>
      </w:pPr>
      <w:bookmarkStart w:id="8" w:name="_Toc9502"/>
      <w:r>
        <w:rPr>
          <w:rFonts w:hint="default"/>
          <w:lang w:val="pl-PL"/>
        </w:rPr>
        <w:t>PODSTAWOWE DANE DOT. INWESTYCJI</w:t>
      </w:r>
      <w:bookmarkEnd w:id="8"/>
      <w:bookmarkStart w:id="9" w:name="_Toc330547102"/>
      <w:bookmarkStart w:id="10" w:name="_Toc330547165"/>
    </w:p>
    <w:p>
      <w:pPr>
        <w:rPr>
          <w:rFonts w:hint="default"/>
          <w:sz w:val="24"/>
          <w:szCs w:val="24"/>
          <w:lang w:val="pl-PL"/>
        </w:rPr>
      </w:pPr>
      <w:r>
        <w:rPr>
          <w:b/>
          <w:bCs/>
          <w:sz w:val="24"/>
          <w:szCs w:val="24"/>
        </w:rPr>
        <w:t xml:space="preserve">Rodzaj i kategoria obiektu budowlanego: </w:t>
      </w:r>
      <w:r>
        <w:rPr>
          <w:b/>
          <w:bCs/>
          <w:sz w:val="24"/>
          <w:szCs w:val="24"/>
        </w:rPr>
        <w:br w:type="textWrapping"/>
      </w:r>
      <w:r>
        <w:rPr>
          <w:rFonts w:hint="default"/>
          <w:b w:val="0"/>
          <w:bCs w:val="0"/>
          <w:sz w:val="24"/>
          <w:szCs w:val="24"/>
          <w:lang w:val="pl-PL"/>
        </w:rPr>
        <w:t>Wybrane pomieszczenia istniejącego budynku Medyczno-Spłecznego Centrum Kształcenia Zwodowego i Ustawicznego</w:t>
      </w:r>
      <w:r>
        <w:rPr>
          <w:rFonts w:hint="default"/>
          <w:sz w:val="24"/>
          <w:szCs w:val="24"/>
          <w:lang w:val="pl-PL"/>
        </w:rPr>
        <w:t>.</w:t>
      </w:r>
      <w:r>
        <w:rPr>
          <w:rFonts w:hint="default"/>
          <w:sz w:val="24"/>
          <w:szCs w:val="24"/>
          <w:lang w:val="pl-PL"/>
        </w:rPr>
        <w:tab/>
      </w:r>
    </w:p>
    <w:p>
      <w:pPr>
        <w:pStyle w:val="27"/>
        <w:spacing w:after="120" w:afterLines="50" w:line="276" w:lineRule="auto"/>
        <w:jc w:val="both"/>
        <w:rPr>
          <w:rFonts w:hint="default"/>
          <w:sz w:val="24"/>
          <w:szCs w:val="24"/>
          <w:lang w:val="pl-PL"/>
        </w:rPr>
      </w:pPr>
      <w:r>
        <w:rPr>
          <w:sz w:val="24"/>
          <w:szCs w:val="24"/>
        </w:rPr>
        <w:t>Kategoria</w:t>
      </w:r>
      <w:r>
        <w:rPr>
          <w:rFonts w:hint="default"/>
          <w:sz w:val="24"/>
          <w:szCs w:val="24"/>
          <w:lang w:val="pl-PL"/>
        </w:rPr>
        <w:t xml:space="preserve"> IX</w:t>
      </w:r>
    </w:p>
    <w:p>
      <w:pPr>
        <w:pStyle w:val="27"/>
        <w:spacing w:after="120" w:afterLines="50" w:line="276" w:lineRule="auto"/>
        <w:rPr>
          <w:rFonts w:hint="default"/>
          <w:b w:val="0"/>
          <w:bCs w:val="0"/>
          <w:sz w:val="24"/>
          <w:szCs w:val="24"/>
          <w:lang w:val="pl-PL"/>
        </w:rPr>
      </w:pPr>
      <w:r>
        <w:rPr>
          <w:b/>
          <w:bCs/>
          <w:sz w:val="24"/>
          <w:szCs w:val="24"/>
        </w:rPr>
        <w:t>Lokalizacja:</w:t>
      </w:r>
      <w:r>
        <w:rPr>
          <w:b/>
          <w:bCs/>
          <w:sz w:val="24"/>
          <w:szCs w:val="24"/>
        </w:rPr>
        <w:br w:type="textWrapping"/>
      </w:r>
      <w:r>
        <w:rPr>
          <w:b w:val="0"/>
          <w:bCs w:val="0"/>
          <w:sz w:val="24"/>
          <w:szCs w:val="24"/>
          <w:lang w:val="pl-PL"/>
        </w:rPr>
        <w:t>Identyfikator</w:t>
      </w:r>
      <w:r>
        <w:rPr>
          <w:rFonts w:hint="default"/>
          <w:b w:val="0"/>
          <w:bCs w:val="0"/>
          <w:sz w:val="24"/>
          <w:szCs w:val="24"/>
          <w:lang w:val="pl-PL"/>
        </w:rPr>
        <w:t xml:space="preserve"> działek ewidencyjnych: 186301_1.0208.524/5, województwo: podkarpackie, powiat: m.Rzeszów, Gmina: Rzeszów, Miejscowość: Rzeszów ul. Warzywna </w:t>
      </w:r>
    </w:p>
    <w:p>
      <w:pPr>
        <w:pStyle w:val="27"/>
        <w:spacing w:after="120" w:afterLines="50" w:line="276" w:lineRule="auto"/>
        <w:rPr>
          <w:rFonts w:hint="default" w:cs="Calibri"/>
          <w:iCs/>
          <w:sz w:val="24"/>
          <w:szCs w:val="24"/>
          <w:lang w:val="pl-PL"/>
        </w:rPr>
      </w:pPr>
      <w:r>
        <w:rPr>
          <w:b/>
          <w:bCs/>
          <w:sz w:val="24"/>
          <w:szCs w:val="24"/>
        </w:rPr>
        <w:t xml:space="preserve">Inwestor: </w:t>
      </w:r>
      <w:bookmarkEnd w:id="9"/>
      <w:bookmarkEnd w:id="10"/>
    </w:p>
    <w:p>
      <w:pPr>
        <w:pStyle w:val="27"/>
        <w:spacing w:after="120" w:afterLines="50" w:line="276" w:lineRule="auto"/>
        <w:rPr>
          <w:rFonts w:hint="default" w:cs="Calibri"/>
          <w:iCs/>
          <w:sz w:val="24"/>
          <w:szCs w:val="24"/>
          <w:lang w:val="pl-PL"/>
        </w:rPr>
      </w:pPr>
      <w:r>
        <w:rPr>
          <w:rFonts w:hint="default" w:cs="Calibri"/>
          <w:iCs/>
          <w:sz w:val="24"/>
          <w:szCs w:val="24"/>
          <w:lang w:val="pl-PL"/>
        </w:rPr>
        <w:t xml:space="preserve">Medyczno-Społeczne Centrum Kształcenia Zawodowego i Ustawicznego, </w:t>
      </w:r>
    </w:p>
    <w:p>
      <w:pPr>
        <w:pStyle w:val="27"/>
        <w:spacing w:after="120" w:afterLines="50" w:line="276" w:lineRule="auto"/>
        <w:rPr>
          <w:rFonts w:hint="default" w:cs="Calibri"/>
          <w:iCs/>
          <w:sz w:val="24"/>
          <w:szCs w:val="24"/>
          <w:lang w:val="pl-PL"/>
        </w:rPr>
      </w:pPr>
      <w:r>
        <w:rPr>
          <w:rFonts w:hint="default" w:cs="Calibri"/>
          <w:iCs/>
          <w:sz w:val="24"/>
          <w:szCs w:val="24"/>
          <w:lang w:val="pl-PL"/>
        </w:rPr>
        <w:t>ul. Warzywna 1, 35-310 Rzeszów</w:t>
      </w:r>
    </w:p>
    <w:p>
      <w:pPr>
        <w:pStyle w:val="27"/>
        <w:spacing w:after="120" w:afterLines="50" w:line="276" w:lineRule="auto"/>
        <w:rPr>
          <w:rFonts w:hint="default" w:cs="Calibri"/>
          <w:iCs/>
          <w:sz w:val="24"/>
          <w:szCs w:val="24"/>
          <w:lang w:val="pl-PL"/>
        </w:rPr>
      </w:pPr>
    </w:p>
    <w:p>
      <w:pPr>
        <w:pStyle w:val="2"/>
        <w:bidi w:val="0"/>
        <w:ind w:left="248" w:leftChars="0" w:hanging="248" w:firstLineChars="0"/>
        <w:rPr>
          <w:rFonts w:hint="default"/>
          <w:lang w:val="pl-PL"/>
        </w:rPr>
      </w:pPr>
      <w:bookmarkStart w:id="11" w:name="_Toc11364"/>
      <w:bookmarkStart w:id="12" w:name="_Toc20190"/>
      <w:bookmarkStart w:id="13" w:name="_Toc26371"/>
      <w:r>
        <w:rPr>
          <w:rFonts w:hint="default"/>
          <w:lang w:val="pl-PL"/>
        </w:rPr>
        <w:t>ZAMIERZONY SPOSÓB UŻYTKOWANIA ORAZ PROGRAM UŻYTKOWY OBIEKTU BUDOWLANEGO</w:t>
      </w:r>
      <w:bookmarkEnd w:id="11"/>
      <w:bookmarkEnd w:id="12"/>
      <w:bookmarkEnd w:id="13"/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b/>
          <w:bCs/>
          <w:sz w:val="24"/>
          <w:u w:val="single"/>
          <w:lang w:val="pl-PL" w:eastAsia="ar-SA"/>
        </w:rPr>
      </w:pPr>
      <w:r>
        <w:rPr>
          <w:rFonts w:hint="default" w:eastAsiaTheme="minorHAnsi" w:cstheme="minorBidi"/>
          <w:b/>
          <w:bCs/>
          <w:sz w:val="24"/>
          <w:u w:val="single"/>
          <w:lang w:val="pl-PL" w:eastAsia="ar-SA"/>
        </w:rPr>
        <w:t>Zamierzany sposób użytkowania:</w:t>
      </w:r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b w:val="0"/>
          <w:bCs w:val="0"/>
          <w:sz w:val="24"/>
          <w:u w:val="none"/>
          <w:lang w:val="pl-PL" w:eastAsia="ar-SA"/>
        </w:rPr>
      </w:pPr>
      <w:r>
        <w:rPr>
          <w:rFonts w:hint="default" w:eastAsiaTheme="minorHAnsi" w:cstheme="minorBidi"/>
          <w:b w:val="0"/>
          <w:bCs w:val="0"/>
          <w:sz w:val="24"/>
          <w:u w:val="none"/>
          <w:lang w:val="pl-PL" w:eastAsia="ar-SA"/>
        </w:rPr>
        <w:t>Przedmiotowe budynki, w zakresie których realizowany jest projekt wnętrz, przeznaczone są na cele oświatowe.</w:t>
      </w:r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b w:val="0"/>
          <w:bCs w:val="0"/>
          <w:sz w:val="24"/>
          <w:u w:val="none"/>
          <w:lang w:val="pl-PL" w:eastAsia="ar-SA"/>
        </w:rPr>
      </w:pPr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b w:val="0"/>
          <w:bCs w:val="0"/>
          <w:sz w:val="24"/>
          <w:u w:val="none"/>
          <w:lang w:val="pl-PL" w:eastAsia="ar-SA"/>
        </w:rPr>
      </w:pPr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b w:val="0"/>
          <w:bCs w:val="0"/>
          <w:sz w:val="24"/>
          <w:u w:val="none"/>
          <w:lang w:val="pl-PL" w:eastAsia="ar-SA"/>
        </w:rPr>
      </w:pPr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b/>
          <w:bCs/>
          <w:sz w:val="24"/>
          <w:u w:val="single"/>
          <w:lang w:val="pl-PL" w:eastAsia="ar-SA"/>
        </w:rPr>
      </w:pPr>
      <w:r>
        <w:rPr>
          <w:rFonts w:hint="default" w:eastAsiaTheme="minorHAnsi" w:cstheme="minorBidi"/>
          <w:b/>
          <w:bCs/>
          <w:sz w:val="24"/>
          <w:u w:val="single"/>
          <w:lang w:val="pl-PL" w:eastAsia="ar-SA"/>
        </w:rPr>
        <w:t>Program użytkowy:</w:t>
      </w:r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>Obecnie na kondygnacjach budynków objętych zakresem projektu wnętrz znajdują się pomieszczenia o funkcji oświatowej (pracownie szkolne, sale wykładowe), szatnia szkolna, toaleta oraz ciągi komunikacyjne - hall wejściowy, wiatrołap i portiernia.</w:t>
      </w:r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>Po realizacji zamierzenia inwestycyjnego funkcja nie ulegnie zmianie. W zakresie objętym opracowaniem znajdować się będą pomieszczenia oświatowe: przestrzeń do szkolenia trenera personalnego, szatnia szkolna, toaleta dla osób z niepełnosprawnością oraz ciągi komunikacyjne - hall wejściowy, wiatrołap i portiernia.</w:t>
      </w:r>
    </w:p>
    <w:p>
      <w:pPr>
        <w:spacing w:after="0" w:line="240" w:lineRule="auto"/>
        <w:rPr>
          <w:rFonts w:asciiTheme="minorHAnsi" w:hAnsiTheme="minorHAnsi" w:eastAsiaTheme="minorHAnsi" w:cstheme="minorBidi"/>
          <w:b/>
          <w:i/>
          <w:iCs/>
          <w:caps/>
          <w:sz w:val="24"/>
          <w:szCs w:val="24"/>
        </w:rPr>
      </w:pPr>
    </w:p>
    <w:p>
      <w:pPr>
        <w:pStyle w:val="2"/>
        <w:bidi w:val="0"/>
        <w:ind w:left="248" w:leftChars="0" w:hanging="248" w:firstLineChars="0"/>
      </w:pPr>
      <w:bookmarkStart w:id="14" w:name="_Toc8327"/>
      <w:r>
        <w:rPr>
          <w:rFonts w:hint="default"/>
          <w:lang w:val="pl-PL"/>
        </w:rPr>
        <w:t>PLANOWANY ZAKRES PROJEKTU WNĘTRZ</w:t>
      </w:r>
      <w:bookmarkEnd w:id="14"/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>Planowane zamierzenie inwestycyjne polegające na projekcie aranżacji i kolorystyki wnętrz w wybranych pomieszczeniach kompleksu budynków nie obejmuje swoim zakresem zmiany w zakresie ścian zewnętrznych oraz elewacji.</w:t>
      </w:r>
    </w:p>
    <w:p>
      <w:pPr>
        <w:keepNext w:val="0"/>
        <w:keepLines w:val="0"/>
        <w:pageBreakBefore w:val="0"/>
        <w:widowControl/>
        <w:overflowPunct w:val="0"/>
        <w:bidi w:val="0"/>
        <w:snapToGrid/>
        <w:spacing w:before="0" w:after="120" w:line="276" w:lineRule="auto"/>
        <w:ind w:left="0" w:right="0" w:firstLine="0"/>
        <w:jc w:val="both"/>
        <w:textAlignment w:val="auto"/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>Planowany zakres projektu wnętrz: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overflowPunct w:val="0"/>
        <w:bidi w:val="0"/>
        <w:snapToGrid/>
        <w:spacing w:before="0" w:after="120" w:line="276" w:lineRule="auto"/>
        <w:ind w:left="420" w:leftChars="0" w:right="0" w:rightChars="0" w:hanging="420" w:firstLineChars="0"/>
        <w:jc w:val="both"/>
        <w:textAlignment w:val="auto"/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 xml:space="preserve">Projekt aranżacji i kolorystyki wnętrza pomieszczenia hallu wejściowego ze wskazaniem uzupełnienia zabudowy G-K, doboru materiału i kolorystyki wykończenia wnętrz, lokalizacją wyposażenia wybranego według odrębnego opracowania lub wyposażenia istniejącego, wykonania elmentów aranżacji jak detal ażurowej ścianki wydzielającej przestrzenie wewnątrz pomieszczenia.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overflowPunct w:val="0"/>
        <w:bidi w:val="0"/>
        <w:snapToGrid/>
        <w:spacing w:before="0" w:after="120" w:line="276" w:lineRule="auto"/>
        <w:ind w:left="420" w:leftChars="0" w:right="0" w:rightChars="0" w:hanging="420" w:firstLineChars="0"/>
        <w:jc w:val="both"/>
        <w:textAlignment w:val="auto"/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 xml:space="preserve">Projekt aranżacji i kolorystyki wnętrza pomieszczenia portierni, przylegającego bezpośrednio do pomieszczenia hallu wejściowego.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overflowPunct w:val="0"/>
        <w:bidi w:val="0"/>
        <w:snapToGrid/>
        <w:spacing w:before="0" w:after="120" w:line="276" w:lineRule="auto"/>
        <w:ind w:left="420" w:leftChars="0" w:right="0" w:rightChars="0" w:hanging="420" w:firstLineChars="0"/>
        <w:jc w:val="both"/>
        <w:textAlignment w:val="auto"/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 xml:space="preserve">Projekt aranżacji i kolorystyki wnętrza pomieszczenia wiatrołapu.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overflowPunct w:val="0"/>
        <w:bidi w:val="0"/>
        <w:snapToGrid/>
        <w:spacing w:before="0" w:after="120" w:line="276" w:lineRule="auto"/>
        <w:ind w:left="420" w:leftChars="0" w:right="0" w:rightChars="0" w:hanging="420" w:firstLineChars="0"/>
        <w:jc w:val="both"/>
        <w:textAlignment w:val="auto"/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 xml:space="preserve">Projekt aranżacji i kolorystyki wnętrza pomieszczenia szatni i przestrzeni szkolenia trenera personalengo.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overflowPunct w:val="0"/>
        <w:bidi w:val="0"/>
        <w:snapToGrid/>
        <w:spacing w:before="0" w:after="120" w:line="276" w:lineRule="auto"/>
        <w:ind w:left="420" w:leftChars="0" w:right="0" w:rightChars="0" w:hanging="420" w:firstLineChars="0"/>
        <w:jc w:val="both"/>
        <w:textAlignment w:val="auto"/>
        <w:rPr>
          <w:rFonts w:hint="default" w:eastAsiaTheme="minorHAnsi" w:cstheme="minorBidi"/>
          <w:sz w:val="8"/>
          <w:szCs w:val="6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>Projekt aranżacji i kolorystyki wnętrza pomieszczenia łazienki dla osób z niepełnosprawnościami.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overflowPunct w:val="0"/>
        <w:bidi w:val="0"/>
        <w:snapToGrid/>
        <w:spacing w:before="0" w:after="120" w:line="276" w:lineRule="auto"/>
        <w:ind w:leftChars="0" w:right="0" w:rightChars="0"/>
        <w:jc w:val="both"/>
        <w:textAlignment w:val="auto"/>
        <w:rPr>
          <w:rFonts w:hint="default" w:eastAsiaTheme="minorHAnsi" w:cstheme="minorBidi"/>
          <w:sz w:val="8"/>
          <w:szCs w:val="6"/>
          <w:lang w:val="pl-PL" w:eastAsia="ar-SA"/>
        </w:rPr>
      </w:pPr>
    </w:p>
    <w:p>
      <w:pPr>
        <w:pStyle w:val="2"/>
        <w:bidi w:val="0"/>
        <w:ind w:left="248" w:leftChars="0" w:hanging="248" w:firstLineChars="0"/>
        <w:rPr>
          <w:rFonts w:hint="default"/>
          <w:lang w:val="pl-PL"/>
        </w:rPr>
      </w:pPr>
      <w:bookmarkStart w:id="15" w:name="_Toc5583"/>
      <w:bookmarkStart w:id="16" w:name="_Toc1539"/>
      <w:bookmarkStart w:id="17" w:name="_Toc14897"/>
      <w:r>
        <w:rPr>
          <w:rFonts w:hint="default"/>
          <w:lang w:val="pl-PL"/>
        </w:rPr>
        <w:t>CHARAKTERYSTYCZNE PARAMETRY OBIEKTU BUDOWLANEGO</w:t>
      </w:r>
      <w:bookmarkEnd w:id="15"/>
      <w:bookmarkEnd w:id="16"/>
      <w:bookmarkEnd w:id="17"/>
    </w:p>
    <w:p>
      <w:pPr>
        <w:bidi w:val="0"/>
        <w:rPr>
          <w:rFonts w:hint="default"/>
          <w:sz w:val="18"/>
          <w:szCs w:val="16"/>
        </w:rPr>
      </w:pPr>
      <w:r>
        <w:rPr>
          <w:rFonts w:hint="default"/>
          <w:sz w:val="18"/>
          <w:szCs w:val="16"/>
        </w:rPr>
        <w:t>W</w:t>
      </w:r>
      <w:r>
        <w:rPr>
          <w:rFonts w:hint="default"/>
          <w:sz w:val="18"/>
          <w:szCs w:val="16"/>
          <w:lang w:val="pl-PL"/>
        </w:rPr>
        <w:t>g</w:t>
      </w:r>
      <w:r>
        <w:rPr>
          <w:rFonts w:hint="default"/>
          <w:sz w:val="18"/>
          <w:szCs w:val="16"/>
        </w:rPr>
        <w:t xml:space="preserve"> PN-ISO 9836:</w:t>
      </w:r>
      <w:r>
        <w:rPr>
          <w:rFonts w:hint="default"/>
          <w:sz w:val="18"/>
          <w:szCs w:val="16"/>
          <w:lang w:val="pl-PL"/>
        </w:rPr>
        <w:t>2015-12</w:t>
      </w:r>
      <w:r>
        <w:rPr>
          <w:rFonts w:hint="default"/>
          <w:sz w:val="18"/>
          <w:szCs w:val="16"/>
        </w:rPr>
        <w:t xml:space="preserve"> Właściwości użytkowe w budownictwie – Określanie i obliczanie wskaźników powierzchniowych i kubaturowych</w:t>
      </w:r>
      <w:r>
        <w:rPr>
          <w:rFonts w:hint="default"/>
          <w:sz w:val="18"/>
          <w:szCs w:val="16"/>
          <w:lang w:val="pl-PL"/>
        </w:rPr>
        <w:t xml:space="preserve"> </w:t>
      </w:r>
      <w:r>
        <w:rPr>
          <w:rFonts w:hint="default"/>
          <w:sz w:val="18"/>
          <w:szCs w:val="16"/>
        </w:rPr>
        <w:t>z uwzględnieniem zapisów rozporządzenia  mr z dnia 11 września 202</w:t>
      </w:r>
      <w:r>
        <w:rPr>
          <w:rFonts w:hint="default"/>
          <w:sz w:val="18"/>
          <w:szCs w:val="16"/>
          <w:lang w:val="pl-PL"/>
        </w:rPr>
        <w:t>2</w:t>
      </w:r>
      <w:r>
        <w:rPr>
          <w:rFonts w:hint="default"/>
          <w:sz w:val="18"/>
          <w:szCs w:val="16"/>
        </w:rPr>
        <w:t>r.</w:t>
      </w:r>
      <w:r>
        <w:rPr>
          <w:rFonts w:hint="default"/>
          <w:sz w:val="18"/>
          <w:szCs w:val="16"/>
          <w:lang w:val="pl-PL"/>
        </w:rPr>
        <w:t xml:space="preserve"> </w:t>
      </w:r>
      <w:r>
        <w:rPr>
          <w:sz w:val="18"/>
          <w:szCs w:val="16"/>
        </w:rPr>
        <w:t>w sprawie szczegółowego zakresu i formy projektu budowlanego</w:t>
      </w:r>
    </w:p>
    <w:p>
      <w:pPr>
        <w:pStyle w:val="25"/>
        <w:numPr>
          <w:ilvl w:val="0"/>
          <w:numId w:val="0"/>
        </w:numPr>
        <w:spacing w:line="276" w:lineRule="auto"/>
        <w:ind w:left="1068" w:leftChars="0"/>
        <w:rPr>
          <w:rFonts w:hint="default"/>
          <w:b w:val="0"/>
          <w:bCs/>
          <w:color w:val="auto"/>
          <w:sz w:val="13"/>
          <w:szCs w:val="13"/>
          <w:highlight w:val="none"/>
          <w:lang w:val="pl-PL"/>
        </w:rPr>
      </w:pP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color w:val="auto"/>
          <w:sz w:val="23"/>
          <w:szCs w:val="23"/>
          <w:highlight w:val="none"/>
        </w:rPr>
      </w:pPr>
      <w:r>
        <w:rPr>
          <w:rFonts w:hint="default"/>
          <w:color w:val="auto"/>
          <w:sz w:val="23"/>
          <w:szCs w:val="23"/>
          <w:highlight w:val="none"/>
          <w:lang w:val="pl-PL"/>
        </w:rPr>
        <w:t>Kubatura:</w:t>
      </w:r>
      <w:r>
        <w:rPr>
          <w:rFonts w:hint="default"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b/>
          <w:bCs/>
          <w:i/>
          <w:iCs/>
          <w:color w:val="auto"/>
          <w:sz w:val="23"/>
          <w:szCs w:val="23"/>
          <w:u w:val="single"/>
          <w:lang w:val="pl-PL"/>
        </w:rPr>
        <w:t>nie dotyczy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</w:rPr>
        <w:t>Długość elewacji</w:t>
      </w:r>
      <w:r>
        <w:rPr>
          <w:color w:val="auto"/>
          <w:sz w:val="23"/>
          <w:szCs w:val="23"/>
          <w:lang w:val="pl-PL"/>
        </w:rPr>
        <w:t xml:space="preserve"> </w:t>
      </w:r>
      <w:r>
        <w:rPr>
          <w:color w:val="auto"/>
          <w:sz w:val="23"/>
          <w:szCs w:val="23"/>
        </w:rPr>
        <w:t>:</w:t>
      </w:r>
      <w:r>
        <w:rPr>
          <w:color w:val="auto"/>
          <w:sz w:val="23"/>
          <w:szCs w:val="23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b/>
          <w:bCs/>
          <w:i/>
          <w:iCs/>
          <w:color w:val="auto"/>
          <w:sz w:val="23"/>
          <w:szCs w:val="23"/>
          <w:u w:val="single"/>
          <w:lang w:val="pl-PL"/>
        </w:rPr>
        <w:t>nie dotyczy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b w:val="0"/>
          <w:bCs/>
          <w:color w:val="auto"/>
          <w:sz w:val="23"/>
          <w:szCs w:val="23"/>
          <w:highlight w:val="none"/>
        </w:rPr>
      </w:pPr>
      <w:r>
        <w:rPr>
          <w:b w:val="0"/>
          <w:bCs/>
          <w:color w:val="auto"/>
          <w:sz w:val="23"/>
          <w:szCs w:val="23"/>
          <w:highlight w:val="none"/>
          <w:lang w:val="pl-PL"/>
        </w:rPr>
        <w:t>Szerokość elewacji:</w:t>
      </w:r>
      <w:r>
        <w:rPr>
          <w:b w:val="0"/>
          <w:bCs/>
          <w:color w:val="auto"/>
          <w:sz w:val="23"/>
          <w:szCs w:val="23"/>
          <w:highlight w:val="none"/>
          <w:lang w:val="pl-PL"/>
        </w:rPr>
        <w:tab/>
      </w:r>
      <w:r>
        <w:rPr>
          <w:b w:val="0"/>
          <w:bCs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highlight w:val="none"/>
          <w:lang w:val="pl-PL"/>
        </w:rPr>
        <w:tab/>
      </w:r>
      <w:r>
        <w:rPr>
          <w:rFonts w:hint="default"/>
          <w:b/>
          <w:bCs/>
          <w:i/>
          <w:iCs/>
          <w:color w:val="auto"/>
          <w:sz w:val="23"/>
          <w:szCs w:val="23"/>
          <w:u w:val="single"/>
          <w:lang w:val="pl-PL"/>
        </w:rPr>
        <w:t>nie dotyczy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i/>
          <w:iCs/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Wysokość </w:t>
      </w:r>
      <w:r>
        <w:rPr>
          <w:color w:val="auto"/>
          <w:sz w:val="23"/>
          <w:szCs w:val="23"/>
          <w:lang w:val="pl-PL"/>
        </w:rPr>
        <w:t>:</w:t>
      </w: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b/>
          <w:bCs/>
          <w:i/>
          <w:iCs/>
          <w:color w:val="auto"/>
          <w:sz w:val="23"/>
          <w:szCs w:val="23"/>
          <w:u w:val="single"/>
          <w:lang w:val="pl-PL"/>
        </w:rPr>
        <w:t>nie dotyczy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</w:rPr>
        <w:t>Powierzchnia zabudowy</w:t>
      </w:r>
      <w:r>
        <w:rPr>
          <w:color w:val="auto"/>
          <w:sz w:val="23"/>
          <w:szCs w:val="23"/>
          <w:lang w:val="pl-PL"/>
        </w:rPr>
        <w:t xml:space="preserve"> budynku:</w:t>
      </w: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  <w:lang w:val="pl-PL"/>
        </w:rPr>
        <w:tab/>
      </w:r>
      <w:r>
        <w:rPr>
          <w:color w:val="auto"/>
          <w:sz w:val="23"/>
          <w:szCs w:val="23"/>
          <w:lang w:val="pl-PL"/>
        </w:rPr>
        <w:tab/>
      </w:r>
      <w:r>
        <w:rPr>
          <w:color w:val="auto"/>
          <w:sz w:val="23"/>
          <w:szCs w:val="23"/>
          <w:lang w:val="pl-PL"/>
        </w:rPr>
        <w:tab/>
      </w:r>
      <w:r>
        <w:rPr>
          <w:rFonts w:hint="default"/>
          <w:b/>
          <w:bCs/>
          <w:i/>
          <w:iCs/>
          <w:color w:val="auto"/>
          <w:sz w:val="23"/>
          <w:szCs w:val="23"/>
          <w:u w:val="single"/>
          <w:lang w:val="pl-PL"/>
        </w:rPr>
        <w:t>nie dotyczy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b w:val="0"/>
          <w:bCs/>
          <w:color w:val="auto"/>
          <w:sz w:val="23"/>
          <w:szCs w:val="23"/>
        </w:rPr>
      </w:pPr>
      <w:r>
        <w:rPr>
          <w:b w:val="0"/>
          <w:bCs/>
          <w:color w:val="auto"/>
          <w:position w:val="0"/>
          <w:sz w:val="23"/>
          <w:szCs w:val="23"/>
          <w:vertAlign w:val="baseline"/>
          <w:lang w:val="pl-PL"/>
        </w:rPr>
        <w:t xml:space="preserve">Spadek głównych połaci dachowych </w:t>
      </w:r>
      <w:r>
        <w:rPr>
          <w:color w:val="auto"/>
          <w:sz w:val="23"/>
          <w:szCs w:val="23"/>
          <w:lang w:val="pl-PL"/>
        </w:rPr>
        <w:t>bud</w:t>
      </w:r>
      <w:r>
        <w:rPr>
          <w:rFonts w:hint="default"/>
          <w:color w:val="auto"/>
          <w:sz w:val="23"/>
          <w:szCs w:val="23"/>
          <w:lang w:val="pl-PL"/>
        </w:rPr>
        <w:t>ynku</w:t>
      </w:r>
      <w:r>
        <w:rPr>
          <w:b w:val="0"/>
          <w:bCs/>
          <w:color w:val="auto"/>
          <w:position w:val="0"/>
          <w:sz w:val="23"/>
          <w:szCs w:val="23"/>
          <w:vertAlign w:val="baseline"/>
          <w:lang w:val="pl-PL"/>
        </w:rPr>
        <w:t>:</w:t>
      </w:r>
      <w:r>
        <w:rPr>
          <w:rFonts w:hint="default"/>
          <w:b w:val="0"/>
          <w:bCs/>
          <w:color w:val="auto"/>
          <w:position w:val="0"/>
          <w:sz w:val="23"/>
          <w:szCs w:val="23"/>
          <w:vertAlign w:val="baseline"/>
          <w:lang w:val="pl-PL"/>
        </w:rPr>
        <w:tab/>
      </w:r>
      <w:r>
        <w:rPr>
          <w:rFonts w:hint="default"/>
          <w:b w:val="0"/>
          <w:bCs/>
          <w:color w:val="auto"/>
          <w:position w:val="0"/>
          <w:sz w:val="23"/>
          <w:szCs w:val="23"/>
          <w:vertAlign w:val="baseline"/>
          <w:lang w:val="pl-PL"/>
        </w:rPr>
        <w:tab/>
      </w:r>
      <w:r>
        <w:rPr>
          <w:rFonts w:hint="default"/>
          <w:b w:val="0"/>
          <w:bCs/>
          <w:color w:val="auto"/>
          <w:position w:val="0"/>
          <w:sz w:val="23"/>
          <w:szCs w:val="23"/>
          <w:vertAlign w:val="baseline"/>
          <w:lang w:val="pl-PL"/>
        </w:rPr>
        <w:tab/>
      </w:r>
      <w:r>
        <w:rPr>
          <w:rFonts w:hint="default"/>
          <w:b/>
          <w:bCs/>
          <w:i/>
          <w:iCs/>
          <w:color w:val="auto"/>
          <w:sz w:val="23"/>
          <w:szCs w:val="23"/>
          <w:u w:val="single"/>
          <w:lang w:val="pl-PL"/>
        </w:rPr>
        <w:t>nie dotyczy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b w:val="0"/>
          <w:bCs/>
          <w:color w:val="auto"/>
          <w:sz w:val="23"/>
          <w:szCs w:val="23"/>
        </w:rPr>
      </w:pPr>
      <w:r>
        <w:rPr>
          <w:b w:val="0"/>
          <w:bCs/>
          <w:color w:val="auto"/>
          <w:sz w:val="23"/>
          <w:szCs w:val="23"/>
          <w:lang w:val="pl-PL"/>
        </w:rPr>
        <w:t xml:space="preserve">Liczba kondygnacji nadziemnych </w:t>
      </w:r>
      <w:r>
        <w:rPr>
          <w:color w:val="auto"/>
          <w:sz w:val="23"/>
          <w:szCs w:val="23"/>
          <w:lang w:val="pl-PL"/>
        </w:rPr>
        <w:t>bud</w:t>
      </w:r>
      <w:r>
        <w:rPr>
          <w:rFonts w:hint="default"/>
          <w:color w:val="auto"/>
          <w:sz w:val="23"/>
          <w:szCs w:val="23"/>
          <w:lang w:val="pl-PL"/>
        </w:rPr>
        <w:t>ynku</w:t>
      </w:r>
      <w:r>
        <w:rPr>
          <w:color w:val="auto"/>
          <w:sz w:val="23"/>
          <w:szCs w:val="23"/>
          <w:lang w:val="pl-PL"/>
        </w:rPr>
        <w:t>:</w:t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rFonts w:hint="default"/>
          <w:color w:val="auto"/>
          <w:sz w:val="23"/>
          <w:szCs w:val="23"/>
          <w:lang w:val="pl-PL"/>
        </w:rPr>
        <w:t xml:space="preserve"> </w:t>
      </w:r>
      <w:r>
        <w:rPr>
          <w:rFonts w:hint="default"/>
          <w:color w:val="auto"/>
          <w:sz w:val="23"/>
          <w:szCs w:val="23"/>
          <w:lang w:val="pl-PL"/>
        </w:rPr>
        <w:tab/>
      </w:r>
      <w:r>
        <w:rPr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 xml:space="preserve"> </w:t>
      </w:r>
      <w:r>
        <w:rPr>
          <w:rFonts w:hint="default"/>
          <w:b/>
          <w:bCs w:val="0"/>
          <w:color w:val="auto"/>
          <w:sz w:val="23"/>
          <w:szCs w:val="23"/>
          <w:lang w:val="pl-PL"/>
        </w:rPr>
        <w:t>I/II/V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b w:val="0"/>
          <w:bCs/>
          <w:color w:val="auto"/>
          <w:sz w:val="23"/>
          <w:szCs w:val="23"/>
        </w:rPr>
      </w:pPr>
      <w:r>
        <w:rPr>
          <w:b w:val="0"/>
          <w:bCs/>
          <w:color w:val="auto"/>
          <w:sz w:val="23"/>
          <w:szCs w:val="23"/>
          <w:lang w:val="pl-PL"/>
        </w:rPr>
        <w:t xml:space="preserve">Liczba kondygnacji podziemnych </w:t>
      </w:r>
      <w:r>
        <w:rPr>
          <w:color w:val="auto"/>
          <w:sz w:val="23"/>
          <w:szCs w:val="23"/>
          <w:lang w:val="pl-PL"/>
        </w:rPr>
        <w:t>bud</w:t>
      </w:r>
      <w:r>
        <w:rPr>
          <w:rFonts w:hint="default"/>
          <w:color w:val="auto"/>
          <w:sz w:val="23"/>
          <w:szCs w:val="23"/>
          <w:lang w:val="pl-PL"/>
        </w:rPr>
        <w:t>ynku</w:t>
      </w:r>
      <w:r>
        <w:rPr>
          <w:color w:val="auto"/>
          <w:sz w:val="23"/>
          <w:szCs w:val="23"/>
          <w:lang w:val="pl-PL"/>
        </w:rPr>
        <w:t>:</w:t>
      </w:r>
      <w:r>
        <w:rPr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 xml:space="preserve">      </w:t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 xml:space="preserve">  </w:t>
      </w:r>
      <w:r>
        <w:rPr>
          <w:rFonts w:hint="default"/>
          <w:b/>
          <w:bCs w:val="0"/>
          <w:color w:val="auto"/>
          <w:sz w:val="23"/>
          <w:szCs w:val="23"/>
          <w:lang w:val="pl-PL"/>
        </w:rPr>
        <w:t>0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b w:val="0"/>
          <w:bCs/>
          <w:color w:val="auto"/>
          <w:sz w:val="23"/>
          <w:szCs w:val="23"/>
        </w:rPr>
      </w:pPr>
      <w:r>
        <w:rPr>
          <w:b w:val="0"/>
          <w:bCs/>
          <w:color w:val="auto"/>
          <w:sz w:val="23"/>
          <w:szCs w:val="23"/>
          <w:lang w:val="pl-PL"/>
        </w:rPr>
        <w:t xml:space="preserve">Liczba lokali </w:t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>użytkowych:</w:t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 xml:space="preserve">            </w:t>
      </w:r>
      <w:r>
        <w:rPr>
          <w:rFonts w:hint="default"/>
          <w:b w:val="0"/>
          <w:bCs/>
          <w:i/>
          <w:iCs/>
          <w:color w:val="auto"/>
          <w:sz w:val="23"/>
          <w:szCs w:val="23"/>
          <w:lang w:val="pl-PL"/>
        </w:rPr>
        <w:t xml:space="preserve"> </w:t>
      </w:r>
      <w:r>
        <w:rPr>
          <w:rFonts w:hint="default"/>
          <w:b/>
          <w:bCs/>
          <w:i/>
          <w:iCs/>
          <w:color w:val="auto"/>
          <w:sz w:val="23"/>
          <w:szCs w:val="23"/>
          <w:u w:val="single"/>
          <w:lang w:val="pl-PL"/>
        </w:rPr>
        <w:t>nie dotyczy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b w:val="0"/>
          <w:bCs/>
          <w:color w:val="auto"/>
          <w:sz w:val="23"/>
          <w:szCs w:val="23"/>
        </w:rPr>
      </w:pPr>
      <w:r>
        <w:rPr>
          <w:b w:val="0"/>
          <w:bCs/>
          <w:color w:val="auto"/>
          <w:sz w:val="23"/>
          <w:szCs w:val="23"/>
          <w:lang w:val="pl-PL"/>
        </w:rPr>
        <w:t>Liczba lokali mieszkalnych</w:t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 xml:space="preserve"> 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1068" w:leftChars="0" w:firstLine="370" w:firstLineChars="161"/>
        <w:textAlignment w:val="auto"/>
        <w:rPr>
          <w:b w:val="0"/>
          <w:bCs/>
          <w:color w:val="auto"/>
          <w:sz w:val="23"/>
          <w:szCs w:val="23"/>
        </w:rPr>
      </w:pPr>
      <w:r>
        <w:rPr>
          <w:rFonts w:hint="default"/>
          <w:b w:val="0"/>
          <w:bCs/>
          <w:color w:val="auto"/>
          <w:sz w:val="23"/>
          <w:szCs w:val="23"/>
          <w:lang w:val="pl-PL"/>
        </w:rPr>
        <w:t xml:space="preserve">(w zakresie objętym robotami budowlanymi):    </w:t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/>
          <w:bCs/>
          <w:i/>
          <w:iCs/>
          <w:color w:val="auto"/>
          <w:sz w:val="23"/>
          <w:szCs w:val="23"/>
          <w:u w:val="single"/>
          <w:lang w:val="pl-PL"/>
        </w:rPr>
        <w:t>nie dotyczy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b w:val="0"/>
          <w:bCs/>
          <w:color w:val="auto"/>
          <w:sz w:val="23"/>
          <w:szCs w:val="23"/>
        </w:rPr>
      </w:pPr>
      <w:r>
        <w:rPr>
          <w:b w:val="0"/>
          <w:bCs/>
          <w:color w:val="auto"/>
          <w:sz w:val="23"/>
          <w:szCs w:val="23"/>
          <w:lang w:val="pl-PL"/>
        </w:rPr>
        <w:t>L</w:t>
      </w:r>
      <w:r>
        <w:rPr>
          <w:b w:val="0"/>
          <w:bCs/>
          <w:color w:val="auto"/>
          <w:sz w:val="23"/>
          <w:szCs w:val="23"/>
        </w:rPr>
        <w:t>iczb</w:t>
      </w:r>
      <w:r>
        <w:rPr>
          <w:b w:val="0"/>
          <w:bCs/>
          <w:color w:val="auto"/>
          <w:sz w:val="23"/>
          <w:szCs w:val="23"/>
          <w:lang w:val="pl-PL"/>
        </w:rPr>
        <w:t>a</w:t>
      </w:r>
      <w:r>
        <w:rPr>
          <w:b w:val="0"/>
          <w:bCs/>
          <w:color w:val="auto"/>
          <w:sz w:val="23"/>
          <w:szCs w:val="23"/>
        </w:rPr>
        <w:t xml:space="preserve"> lokali mieszkalnych dostępnych dla osób</w:t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 xml:space="preserve"> n</w:t>
      </w:r>
      <w:r>
        <w:rPr>
          <w:b w:val="0"/>
          <w:bCs/>
          <w:color w:val="auto"/>
          <w:sz w:val="23"/>
          <w:szCs w:val="23"/>
        </w:rPr>
        <w:t>iepełnospr</w:t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 xml:space="preserve">awnych </w:t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br w:type="textWrapping"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>(w zakresie objętym robotami budowlanymi):</w:t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ab/>
      </w:r>
      <w:r>
        <w:rPr>
          <w:rFonts w:hint="default"/>
          <w:b w:val="0"/>
          <w:bCs/>
          <w:color w:val="auto"/>
          <w:sz w:val="23"/>
          <w:szCs w:val="23"/>
          <w:lang w:val="pl-PL"/>
        </w:rPr>
        <w:t xml:space="preserve">  </w:t>
      </w:r>
      <w:r>
        <w:rPr>
          <w:rFonts w:hint="default"/>
          <w:b/>
          <w:bCs/>
          <w:i/>
          <w:iCs/>
          <w:color w:val="auto"/>
          <w:sz w:val="23"/>
          <w:szCs w:val="23"/>
          <w:u w:val="single"/>
          <w:lang w:val="pl-PL"/>
        </w:rPr>
        <w:t>nie dotyczy</w:t>
      </w:r>
    </w:p>
    <w:p>
      <w:pPr>
        <w:rPr>
          <w:rFonts w:hint="default"/>
          <w:b w:val="0"/>
          <w:bCs/>
          <w:color w:val="auto"/>
          <w:sz w:val="18"/>
          <w:szCs w:val="18"/>
          <w:highlight w:val="none"/>
          <w:lang w:val="pl-PL"/>
        </w:rPr>
      </w:pPr>
    </w:p>
    <w:p>
      <w:pPr>
        <w:pStyle w:val="25"/>
        <w:numPr>
          <w:ilvl w:val="0"/>
          <w:numId w:val="0"/>
        </w:numPr>
        <w:spacing w:line="276" w:lineRule="auto"/>
        <w:rPr>
          <w:rFonts w:hint="default"/>
          <w:b w:val="0"/>
          <w:bCs/>
          <w:color w:val="auto"/>
          <w:sz w:val="18"/>
          <w:szCs w:val="18"/>
          <w:highlight w:val="none"/>
          <w:lang w:val="pl-PL"/>
        </w:rPr>
      </w:pPr>
    </w:p>
    <w:tbl>
      <w:tblPr>
        <w:tblStyle w:val="6"/>
        <w:tblpPr w:leftFromText="180" w:rightFromText="180" w:vertAnchor="text" w:horzAnchor="page" w:tblpX="1531" w:tblpY="1"/>
        <w:tblOverlap w:val="never"/>
        <w:tblW w:w="90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425"/>
        <w:gridCol w:w="4150"/>
        <w:gridCol w:w="19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0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/>
                <w:b w:val="0"/>
                <w:bCs/>
                <w:color w:val="auto"/>
                <w:sz w:val="18"/>
                <w:szCs w:val="18"/>
                <w:highlight w:val="none"/>
                <w:lang w:val="pl-PL"/>
              </w:rPr>
              <w:br w:type="page"/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singl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ZESTAWIENIE POWIERZCHNI POMIESZCZEŃ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singl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single"/>
                <w:lang w:val="pl-PL" w:eastAsia="zh-CN" w:bidi="ar"/>
              </w:rPr>
              <w:t>OBJĘTYCH PROJEKTEM WNĘTRZ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Kondygnacja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Nr.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Nazwa pom.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Pow.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  <w:lang w:val="pl-PL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</w:t>
            </w: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04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  <w:lang w:val="pl-PL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Szatnia + siłownia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  <w:lang w:val="pl-PL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160,70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  <w:lang w:val="pl-PL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</w:t>
            </w: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05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  <w:lang w:val="pl-PL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Toaleta dla OzN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  <w:lang w:val="pl-PL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13,30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</w:t>
            </w: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08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Wiatrołap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12,70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</w:t>
            </w: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09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Hall wejściowy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64,80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</w:t>
            </w: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10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Portiernia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10,50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  <w:lang w:val="pl-PL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pl-PL" w:eastAsia="zh-CN" w:bidi="ar"/>
              </w:rPr>
              <w:t>262,00 m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pl-PL" w:eastAsia="zh-CN" w:bidi="ar"/>
              </w:rPr>
              <w:t>2</w:t>
            </w:r>
          </w:p>
        </w:tc>
      </w:tr>
    </w:tbl>
    <w:p>
      <w:pPr>
        <w:pStyle w:val="25"/>
        <w:numPr>
          <w:ilvl w:val="0"/>
          <w:numId w:val="0"/>
        </w:numPr>
        <w:spacing w:line="276" w:lineRule="auto"/>
        <w:jc w:val="both"/>
        <w:rPr>
          <w:rFonts w:hint="default"/>
          <w:b/>
          <w:bCs w:val="0"/>
          <w:color w:val="00000A"/>
          <w:sz w:val="24"/>
          <w:szCs w:val="24"/>
          <w:u w:val="single"/>
          <w:lang w:val="pl-PL"/>
        </w:rPr>
      </w:pPr>
    </w:p>
    <w:p>
      <w:pPr>
        <w:pStyle w:val="2"/>
        <w:bidi w:val="0"/>
        <w:ind w:left="248" w:leftChars="0" w:hanging="248" w:firstLineChars="0"/>
        <w:rPr>
          <w:rFonts w:hint="default"/>
          <w:lang w:val="pl-PL"/>
        </w:rPr>
      </w:pPr>
      <w:bookmarkStart w:id="18" w:name="_Toc1819"/>
      <w:bookmarkStart w:id="19" w:name="_Toc10045"/>
      <w:bookmarkStart w:id="20" w:name="_Toc12438"/>
      <w:r>
        <w:rPr>
          <w:rFonts w:hint="default"/>
          <w:lang w:val="pl-PL"/>
        </w:rPr>
        <w:t xml:space="preserve">OPIS WARUNKÓW </w:t>
      </w:r>
      <w:bookmarkEnd w:id="18"/>
      <w:bookmarkEnd w:id="19"/>
      <w:r>
        <w:rPr>
          <w:rFonts w:hint="default"/>
          <w:lang w:val="pl-PL"/>
        </w:rPr>
        <w:t>DOSTOSOWANIA PROJEKTU WNĘTRZ DO OSÓB Z  NIEPEŁNOSPRAWNOŚCIAMI</w:t>
      </w:r>
      <w:bookmarkEnd w:id="20"/>
    </w:p>
    <w:p>
      <w:pPr>
        <w:pStyle w:val="27"/>
        <w:spacing w:line="276" w:lineRule="auto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o którym mowa w art. 1 Konwencji o prawach osób niepełnosprawnych, sporządzonej w Nowym Jorku dnia 13 grudnia 2006 r.</w:t>
      </w:r>
      <w:r>
        <w:rPr>
          <w:bCs/>
        </w:rPr>
        <w:t>(Dz. U. z 2012 r. poz. 1169 oraz z 2018 r. poz. 1217)</w:t>
      </w:r>
      <w:r>
        <w:rPr>
          <w:rFonts w:ascii="Calibri" w:hAnsi="Calibri" w:cs="Calibri"/>
          <w:i/>
          <w:iCs/>
        </w:rPr>
        <w:t>, w tym osoby starsze</w:t>
      </w:r>
    </w:p>
    <w:p>
      <w:pPr>
        <w:pStyle w:val="25"/>
        <w:spacing w:line="276" w:lineRule="auto"/>
        <w:ind w:firstLine="708" w:firstLineChars="0"/>
        <w:jc w:val="both"/>
        <w:rPr>
          <w:rFonts w:hint="default"/>
          <w:sz w:val="24"/>
          <w:szCs w:val="24"/>
          <w:highlight w:val="none"/>
          <w:shd w:val="clear" w:color="auto" w:fill="auto"/>
          <w:lang w:val="pl-PL"/>
        </w:rPr>
      </w:pPr>
    </w:p>
    <w:p>
      <w:pPr>
        <w:pStyle w:val="25"/>
        <w:spacing w:line="276" w:lineRule="auto"/>
        <w:ind w:firstLine="708" w:firstLineChars="0"/>
        <w:jc w:val="both"/>
        <w:rPr>
          <w:rFonts w:hint="default"/>
          <w:sz w:val="24"/>
          <w:szCs w:val="24"/>
          <w:highlight w:val="none"/>
          <w:shd w:val="clear" w:color="auto" w:fill="auto"/>
          <w:lang w:val="pl-PL"/>
        </w:rPr>
      </w:pPr>
      <w:r>
        <w:rPr>
          <w:rFonts w:hint="default"/>
          <w:sz w:val="24"/>
          <w:szCs w:val="24"/>
          <w:highlight w:val="none"/>
          <w:shd w:val="clear" w:color="auto" w:fill="auto"/>
          <w:lang w:val="pl-PL"/>
        </w:rPr>
        <w:t>Projekt aranżacji i kolorystyki wnętrz w wybranych pomieszczeniach kompleksu budynków objętych opracowaniem wprowadzi następujące rozwiązania, dzięki którym zostaną zapewnione niezbędne warunki do korzystania z obiektu przez osoby niepełnosprawne: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76" w:lineRule="auto"/>
        <w:ind w:left="947" w:leftChars="0" w:hanging="227" w:firstLineChars="0"/>
        <w:jc w:val="both"/>
        <w:textAlignment w:val="auto"/>
        <w:rPr>
          <w:rFonts w:hint="default"/>
          <w:sz w:val="24"/>
          <w:szCs w:val="24"/>
          <w:highlight w:val="none"/>
          <w:shd w:val="clear" w:color="auto" w:fill="auto"/>
          <w:lang w:val="pl-PL"/>
        </w:rPr>
      </w:pPr>
      <w:r>
        <w:rPr>
          <w:rFonts w:hint="default"/>
          <w:sz w:val="24"/>
          <w:szCs w:val="24"/>
          <w:highlight w:val="none"/>
          <w:shd w:val="clear" w:color="auto" w:fill="auto"/>
          <w:lang w:val="pl-PL"/>
        </w:rPr>
        <w:t>Toaleta dla osób z niepełnosprawnościami przystosowana dla nich - zaprojektowana z miską ustępową oraz umywalką dla osób z niepełnosprawnościami oraz z uchwytami ułatwiającymi korzystanie przez nich z dedykowanego dla nich wyposażenia.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76" w:lineRule="auto"/>
        <w:ind w:left="947" w:leftChars="0" w:hanging="227" w:firstLineChars="0"/>
        <w:jc w:val="both"/>
        <w:textAlignment w:val="auto"/>
        <w:rPr>
          <w:rFonts w:hint="default"/>
          <w:sz w:val="24"/>
          <w:szCs w:val="24"/>
          <w:highlight w:val="none"/>
          <w:shd w:val="clear" w:color="auto" w:fill="auto"/>
          <w:lang w:val="pl-PL"/>
        </w:rPr>
      </w:pPr>
      <w:r>
        <w:rPr>
          <w:rFonts w:hint="default"/>
          <w:sz w:val="24"/>
          <w:szCs w:val="24"/>
          <w:highlight w:val="none"/>
          <w:shd w:val="clear" w:color="auto" w:fill="auto"/>
          <w:lang w:val="pl-PL"/>
        </w:rPr>
        <w:t>W przestrzeni w toalety zapewniono przestrzeń manewrową pozbawioną stałych elementów o wymiarach 1,5m x 1,5 m.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76" w:lineRule="auto"/>
        <w:ind w:left="947" w:leftChars="0" w:hanging="227" w:firstLineChars="0"/>
        <w:jc w:val="both"/>
        <w:textAlignment w:val="auto"/>
        <w:rPr>
          <w:rFonts w:hint="default"/>
          <w:sz w:val="24"/>
          <w:szCs w:val="24"/>
          <w:highlight w:val="none"/>
          <w:shd w:val="clear" w:color="auto" w:fill="auto"/>
          <w:lang w:val="pl-PL"/>
        </w:rPr>
      </w:pPr>
      <w:r>
        <w:rPr>
          <w:rFonts w:hint="default"/>
          <w:sz w:val="24"/>
          <w:szCs w:val="24"/>
          <w:highlight w:val="none"/>
          <w:shd w:val="clear" w:color="auto" w:fill="auto"/>
          <w:lang w:val="pl-PL"/>
        </w:rPr>
        <w:t>W przestrzeniach ciągów komunikacyjnych tj. wiatrołapu i hallu wejściowego oraz przestrzeniach szatni objętych opracowaniem projektu aranżacji i kolorystyki wnętrz zapewniono szerokość ciągu komuniakcyjnego o szerokości 1,20 m.</w:t>
      </w:r>
    </w:p>
    <w:p>
      <w:pPr>
        <w:rPr>
          <w:rFonts w:hint="default"/>
          <w:sz w:val="24"/>
          <w:szCs w:val="24"/>
          <w:highlight w:val="none"/>
          <w:shd w:val="clear" w:color="auto" w:fill="auto"/>
          <w:lang w:val="pl-PL"/>
        </w:rPr>
      </w:pPr>
      <w:r>
        <w:rPr>
          <w:rFonts w:hint="default"/>
          <w:sz w:val="24"/>
          <w:szCs w:val="24"/>
          <w:highlight w:val="none"/>
          <w:shd w:val="clear" w:color="auto" w:fill="auto"/>
          <w:lang w:val="pl-PL"/>
        </w:rPr>
        <w:br w:type="page"/>
      </w:r>
    </w:p>
    <w:p>
      <w:pPr>
        <w:pStyle w:val="2"/>
        <w:bidi w:val="0"/>
        <w:ind w:left="248" w:leftChars="0" w:hanging="248" w:firstLineChars="0"/>
        <w:rPr>
          <w:rFonts w:hint="default"/>
          <w:b w:val="0"/>
          <w:bCs w:val="0"/>
          <w:lang w:val="pl-PL"/>
        </w:rPr>
      </w:pPr>
      <w:bookmarkStart w:id="21" w:name="_Toc7050"/>
      <w:bookmarkStart w:id="22" w:name="_Toc23607"/>
      <w:bookmarkStart w:id="23" w:name="_Toc8308"/>
      <w:r>
        <w:rPr>
          <w:rFonts w:hint="default"/>
          <w:lang w:val="pl-PL"/>
        </w:rPr>
        <w:t>ROZWIĄZANIA BUDOWLANO-MATERIAŁOWE</w:t>
      </w:r>
      <w:bookmarkEnd w:id="21"/>
      <w:bookmarkEnd w:id="22"/>
      <w:bookmarkStart w:id="24" w:name="_Toc31328"/>
      <w:r>
        <w:rPr>
          <w:rFonts w:hint="default"/>
          <w:lang w:val="pl-PL"/>
        </w:rPr>
        <w:t xml:space="preserve"> PRZEWIDZIANE W PROJEKCIE WNĘTRZ</w:t>
      </w:r>
      <w:bookmarkEnd w:id="23"/>
      <w:bookmarkEnd w:id="24"/>
      <w:bookmarkStart w:id="25" w:name="_Toc31576"/>
      <w:bookmarkStart w:id="26" w:name="_Toc12727"/>
      <w:bookmarkStart w:id="27" w:name="_Toc392944900"/>
    </w:p>
    <w:bookmarkEnd w:id="25"/>
    <w:bookmarkEnd w:id="26"/>
    <w:p>
      <w:pPr>
        <w:bidi w:val="0"/>
        <w:rPr>
          <w:rFonts w:hint="default"/>
          <w:b/>
          <w:bCs/>
          <w:lang w:val="pl-PL"/>
        </w:rPr>
      </w:pPr>
    </w:p>
    <w:p>
      <w:pPr>
        <w:bidi w:val="0"/>
        <w:rPr>
          <w:rFonts w:hint="default"/>
          <w:b/>
          <w:bCs/>
          <w:lang w:val="pl-PL"/>
        </w:rPr>
      </w:pPr>
      <w:r>
        <w:rPr>
          <w:rFonts w:hint="default"/>
          <w:b/>
          <w:bCs/>
          <w:lang w:val="pl-PL"/>
        </w:rPr>
        <w:t>Pomieszczenie hallu wejściowego:</w:t>
      </w:r>
    </w:p>
    <w:p>
      <w:pPr>
        <w:bidi w:val="0"/>
        <w:rPr>
          <w:rFonts w:hint="default"/>
          <w:b w:val="0"/>
          <w:bCs w:val="0"/>
          <w:lang w:val="pl-PL"/>
        </w:rPr>
      </w:pPr>
      <w:r>
        <w:rPr>
          <w:rFonts w:hint="default"/>
          <w:b w:val="0"/>
          <w:bCs w:val="0"/>
          <w:lang w:val="pl-PL"/>
        </w:rPr>
        <w:t>- wykonanie belki w zabudowie G-K w rozmiarze 65,00 x 35,00 cm w kolorze łososiowym w zakresie przedstawionym w części graficznej projektu. Kolor łososiowy belki dobrać na miejscu po wykonaniu zabudowy.,</w:t>
      </w:r>
    </w:p>
    <w:p>
      <w:pPr>
        <w:bidi w:val="0"/>
        <w:rPr>
          <w:rFonts w:hint="default"/>
          <w:b w:val="0"/>
          <w:bCs w:val="0"/>
          <w:lang w:val="pl-PL"/>
        </w:rPr>
      </w:pPr>
      <w:r>
        <w:rPr>
          <w:rFonts w:hint="default"/>
          <w:b w:val="0"/>
          <w:bCs w:val="0"/>
          <w:lang w:val="pl-PL"/>
        </w:rPr>
        <w:t>- wykończenie ścian wewnętrznych tapetą Muraspec Metropolitan 11282, NCS S 0500-N, rodzaj wzoru: gips / beton w zakresie przedstawionym w części graficznej projektu,</w:t>
      </w:r>
    </w:p>
    <w:p>
      <w:pPr>
        <w:bidi w:val="0"/>
        <w:rPr>
          <w:rFonts w:hint="default"/>
          <w:b w:val="0"/>
          <w:bCs w:val="0"/>
          <w:lang w:val="pl-PL"/>
        </w:rPr>
      </w:pPr>
      <w:r>
        <w:rPr>
          <w:rFonts w:hint="default"/>
          <w:b w:val="0"/>
          <w:bCs w:val="0"/>
          <w:lang w:val="pl-PL"/>
        </w:rPr>
        <w:t>- wykonanie ścianek ażurowych wydzielających przestrzenie siedziska oraz komunikacyjną według projektu detalu ścianki ażurowej dołączonej do projektu wnętrz,</w:t>
      </w:r>
    </w:p>
    <w:p>
      <w:pPr>
        <w:bidi w:val="0"/>
        <w:rPr>
          <w:rFonts w:hint="default"/>
          <w:b w:val="0"/>
          <w:bCs w:val="0"/>
          <w:lang w:val="pl-PL"/>
        </w:rPr>
      </w:pPr>
      <w:r>
        <w:rPr>
          <w:rFonts w:hint="default"/>
          <w:b w:val="0"/>
          <w:bCs w:val="0"/>
          <w:lang w:val="pl-PL"/>
        </w:rPr>
        <w:t>- ścianka ażurowa wykonana z profili aluminiowych wykończonych okeliną jasnego dębu z profilami HPL w kolorze białym RAL 9010 wykonanymi według detalu dołączonego do częsci graficznej projektu wnętrz,</w:t>
      </w:r>
    </w:p>
    <w:p>
      <w:pPr>
        <w:bidi w:val="0"/>
        <w:rPr>
          <w:rFonts w:hint="default"/>
          <w:b w:val="0"/>
          <w:bCs w:val="0"/>
          <w:lang w:val="pl-PL"/>
        </w:rPr>
      </w:pPr>
      <w:r>
        <w:rPr>
          <w:rFonts w:hint="default"/>
          <w:b w:val="0"/>
          <w:bCs w:val="0"/>
          <w:lang w:val="pl-PL"/>
        </w:rPr>
        <w:t>- wyposażenie wnętrza pomieszczenia hallu wejściowego - według odrębnego opracowania i / lub z wykorzystaniem wyposażenia istniejącego m.in. kiosk multimedialny, siedziska modułowe, telewizor, automat do napojów gorących.</w:t>
      </w:r>
    </w:p>
    <w:p>
      <w:pPr>
        <w:bidi w:val="0"/>
        <w:rPr>
          <w:rFonts w:hint="default"/>
          <w:b w:val="0"/>
          <w:bCs w:val="0"/>
          <w:lang w:val="pl-PL"/>
        </w:rPr>
      </w:pPr>
    </w:p>
    <w:p>
      <w:pPr>
        <w:bidi w:val="0"/>
        <w:rPr>
          <w:rFonts w:hint="default"/>
          <w:b/>
          <w:bCs/>
          <w:lang w:val="pl-PL"/>
        </w:rPr>
      </w:pPr>
      <w:r>
        <w:rPr>
          <w:rFonts w:hint="default"/>
          <w:b/>
          <w:bCs/>
          <w:lang w:val="pl-PL"/>
        </w:rPr>
        <w:t>Pomieszczenie portierni:</w:t>
      </w:r>
    </w:p>
    <w:p>
      <w:pPr>
        <w:bidi w:val="0"/>
        <w:rPr>
          <w:rFonts w:hint="default"/>
          <w:b w:val="0"/>
          <w:bCs w:val="0"/>
          <w:lang w:val="pl-PL"/>
        </w:rPr>
      </w:pPr>
      <w:r>
        <w:rPr>
          <w:rFonts w:hint="default"/>
          <w:b w:val="0"/>
          <w:bCs w:val="0"/>
          <w:lang w:val="pl-PL"/>
        </w:rPr>
        <w:t>- wykończenie ścian wewnętrznych tapetą Muraspec Metropolitan 11282, NCS S 0500-N, rodzaj wzoru: gips / beton w zakresie przedstawionym w części graficznej projektu,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highlight w:val="none"/>
          <w:lang w:val="pl-PL"/>
        </w:rPr>
        <w:t xml:space="preserve">- ściany wewnętrzne niewykończone tapetą </w:t>
      </w:r>
      <w:r>
        <w:rPr>
          <w:rFonts w:hint="default"/>
          <w:b w:val="0"/>
          <w:bCs w:val="0"/>
          <w:highlight w:val="none"/>
          <w:lang w:val="pl-PL"/>
        </w:rPr>
        <w:t>malowane farbą emulsyjną w kolorze białym RAL 9010 w zakresie pokazanym w części graficznej projektu wnętrz,</w:t>
      </w:r>
    </w:p>
    <w:p>
      <w:pPr>
        <w:bidi w:val="0"/>
        <w:rPr>
          <w:rFonts w:hint="default"/>
          <w:b w:val="0"/>
          <w:bCs w:val="0"/>
          <w:lang w:val="pl-PL"/>
        </w:rPr>
      </w:pPr>
      <w:r>
        <w:rPr>
          <w:rFonts w:hint="default"/>
          <w:b w:val="0"/>
          <w:bCs w:val="0"/>
          <w:lang w:val="pl-PL"/>
        </w:rPr>
        <w:t>- posadzkę portierni dostosować do montażu mebli. Posadzka wykończona panelami winylowymi. Poziom posadzki wyrównać z poziomem posadzki w hallu wejściowym. Przed położeniem paneli zastosować wylewkę samopoziomującą (poza zakresem projektu wnętrz),</w:t>
      </w:r>
    </w:p>
    <w:p>
      <w:pPr>
        <w:bidi w:val="0"/>
        <w:rPr>
          <w:rFonts w:hint="default"/>
          <w:b w:val="0"/>
          <w:bCs w:val="0"/>
          <w:lang w:val="pl-PL"/>
        </w:rPr>
      </w:pPr>
      <w:r>
        <w:rPr>
          <w:rFonts w:hint="default"/>
          <w:b w:val="0"/>
          <w:bCs w:val="0"/>
          <w:lang w:val="pl-PL"/>
        </w:rPr>
        <w:t>- zabudowa meblowa tj. szafy, zabudowa meblowa portierni, projektowana lada recepcyjna wykonane według odrębnego opracowania,</w:t>
      </w:r>
    </w:p>
    <w:p>
      <w:pPr>
        <w:bidi w:val="0"/>
        <w:rPr>
          <w:rFonts w:hint="default"/>
          <w:b w:val="0"/>
          <w:bCs w:val="0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w projekcie wnętrz nie przewiduje się wyposażenia pomieszczenia innego niż wskazanego powyżej.</w:t>
      </w:r>
    </w:p>
    <w:p>
      <w:pPr>
        <w:bidi w:val="0"/>
        <w:rPr>
          <w:rFonts w:hint="default"/>
          <w:b/>
          <w:bCs/>
          <w:lang w:val="pl-PL"/>
        </w:rPr>
      </w:pPr>
    </w:p>
    <w:p>
      <w:pPr>
        <w:bidi w:val="0"/>
        <w:rPr>
          <w:rFonts w:hint="default"/>
          <w:highlight w:val="none"/>
          <w:lang w:val="pl-PL"/>
        </w:rPr>
      </w:pPr>
      <w:r>
        <w:rPr>
          <w:rFonts w:hint="default"/>
          <w:b/>
          <w:bCs/>
          <w:lang w:val="pl-PL"/>
        </w:rPr>
        <w:t>Pomieszczenie wiatrołapu: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highlight w:val="none"/>
          <w:lang w:val="pl-PL"/>
        </w:rPr>
        <w:t xml:space="preserve">- ściany wewnętrzne </w:t>
      </w:r>
      <w:r>
        <w:rPr>
          <w:rFonts w:hint="default"/>
          <w:b w:val="0"/>
          <w:bCs w:val="0"/>
          <w:highlight w:val="none"/>
          <w:lang w:val="pl-PL"/>
        </w:rPr>
        <w:t>malowanie farbą emulsyjną w kolorze białym RAL 9010,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zaprojektowano miejsce na logo szkoły z logo szkoły przestrzennym 3D wykonane według odrębnego opracowania,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zabudowa meblowa t.j. lada przy okienku portierni i donica na rośliny doniczkowe o preferowanej wysokości 100-120 cm wykonane z płyty MDF w kolorze jasnego dębu,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w projekcie wnętrz nie przewiduje się wyposażenia pomieszczenia innego niż wskazanego powyżej.</w:t>
      </w:r>
    </w:p>
    <w:p>
      <w:pPr>
        <w:bidi w:val="0"/>
        <w:rPr>
          <w:rFonts w:hint="default"/>
          <w:b w:val="0"/>
          <w:bCs w:val="0"/>
          <w:highlight w:val="yellow"/>
          <w:lang w:val="pl-PL"/>
        </w:rPr>
      </w:pPr>
    </w:p>
    <w:p>
      <w:pPr>
        <w:bidi w:val="0"/>
        <w:rPr>
          <w:rFonts w:hint="default"/>
          <w:b/>
          <w:bCs/>
          <w:lang w:val="pl-PL"/>
        </w:rPr>
      </w:pPr>
      <w:r>
        <w:rPr>
          <w:rFonts w:hint="default"/>
          <w:b/>
          <w:bCs/>
          <w:lang w:val="pl-PL"/>
        </w:rPr>
        <w:t>Pomieszczenie łazienki dla OzN: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 xml:space="preserve">- wykonanie okładzin ściennych z płytek ceramicznych ściennych o wymiarach 30 x 60 cm w kolorze jasnoszarym. </w:t>
      </w:r>
    </w:p>
    <w:p>
      <w:pPr>
        <w:bidi w:val="0"/>
        <w:rPr>
          <w:rFonts w:hint="default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p</w:t>
      </w:r>
      <w:r>
        <w:rPr>
          <w:rFonts w:hint="default"/>
          <w:highlight w:val="none"/>
          <w:lang w:val="pl-PL"/>
        </w:rPr>
        <w:t>owierzchnie, na których nie występują płytki malować farbą do łazienek/kuchni hydrofobową.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highlight w:val="none"/>
          <w:lang w:val="pl-PL"/>
        </w:rPr>
        <w:t xml:space="preserve">- ściany wewnętrzne </w:t>
      </w:r>
      <w:r>
        <w:rPr>
          <w:rFonts w:hint="default"/>
          <w:b w:val="0"/>
          <w:bCs w:val="0"/>
          <w:highlight w:val="none"/>
          <w:lang w:val="pl-PL"/>
        </w:rPr>
        <w:t>malowane farbą emulsyjną w kolorze białym RAL 9010 w zakresie pokazanym w części graficznej projektu wnętrz.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Montaż elementów armatury i wyposażenia wnętrz dla tego typu pomieszczeń toalety, z dostosowaniem do osób z niepełnosprawnością: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podtynkowy system instalacyjny do suchej zabudowy (karton-gips) - dla osób o ograniczonej sprawności ruchowej,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poręcz uchylna zamontowana na wysokości 60,00 cm z uchwytem na papier,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poręcz stała o długości 65,00 cm montowana na wysokości 75,00 cm, montowana do podtynkowego stelaża do montażu poręczy,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szczotka do WC,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kosz łazienkowy,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umywalka ścienna o wymiarach 66 x 55 cm z dostępem dla osób z niepełnosprawnością biała. Montowana na wysokości 50,00 cm,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lustro o wymiarach 80 x 65 cm,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poręcz uchylna 60,00 cm o rozstawie 80,00 cm i wysokości 60,00 cm montowana do podtynkowego stelaża do montażu poręczy,</w:t>
      </w:r>
    </w:p>
    <w:p>
      <w:pPr>
        <w:bidi w:val="0"/>
        <w:rPr>
          <w:rFonts w:hint="default"/>
          <w:b/>
          <w:bCs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w projekcie wnętrz nie przewiduje się wyposażenia pomieszczenia innego niż wskazanego powyżej.</w:t>
      </w:r>
    </w:p>
    <w:p>
      <w:pPr>
        <w:bidi w:val="0"/>
        <w:rPr>
          <w:rFonts w:hint="default"/>
          <w:b/>
          <w:bCs/>
          <w:lang w:val="pl-PL"/>
        </w:rPr>
      </w:pPr>
    </w:p>
    <w:p>
      <w:pPr>
        <w:bidi w:val="0"/>
        <w:rPr>
          <w:rFonts w:hint="default"/>
          <w:b/>
          <w:bCs/>
          <w:lang w:val="pl-PL"/>
        </w:rPr>
      </w:pPr>
      <w:r>
        <w:rPr>
          <w:rFonts w:hint="default"/>
          <w:b/>
          <w:bCs/>
          <w:lang w:val="pl-PL"/>
        </w:rPr>
        <w:t>Pomieszczenie szatni + siłowni: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highlight w:val="none"/>
          <w:lang w:val="pl-PL"/>
        </w:rPr>
        <w:t xml:space="preserve">- ściany wewnętrzne </w:t>
      </w:r>
      <w:r>
        <w:rPr>
          <w:rFonts w:hint="default"/>
          <w:b w:val="0"/>
          <w:bCs w:val="0"/>
          <w:highlight w:val="none"/>
          <w:lang w:val="pl-PL"/>
        </w:rPr>
        <w:t xml:space="preserve">malowanie farbą emulsyjną w kolorze białym RAL 9010, 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wykończenie posadzki z wykładziny PCV, antypoślizgowa, spełniająca warunki bezpieczeństwa i użytkowania dla pomieszczeń szatni i pomieszczeń siłowni np. Tarkett Omnisports Compact o grubości 2,00 mm w kolorze jasnoszarym Uni SILVER GREY,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pomieszczenie szatni i szkolenia trenera personalnego wyposażone w szafki dla uczniów oraz elementy wyposażenia przestrzeni szkolenia trenera personalnego (m.in. bieżnia, orbitrek, itp. według zapotrzebowania i indywidualnej specyfikacji placówki oświatowej) według odrębnego opracowania i/lub z wykorzystaniem wyposażenia isntneijącego,</w:t>
      </w:r>
    </w:p>
    <w:p>
      <w:pPr>
        <w:bidi w:val="0"/>
        <w:rPr>
          <w:rFonts w:hint="default"/>
          <w:b w:val="0"/>
          <w:bCs w:val="0"/>
          <w:highlight w:val="none"/>
          <w:lang w:val="pl-PL"/>
        </w:rPr>
      </w:pPr>
      <w:r>
        <w:rPr>
          <w:rFonts w:hint="default"/>
          <w:b w:val="0"/>
          <w:bCs w:val="0"/>
          <w:highlight w:val="none"/>
          <w:lang w:val="pl-PL"/>
        </w:rPr>
        <w:t>- w projekcie wnętrz nie przewiduje się wyposażenia pomieszczenia innego niż wskazanego powyżej.</w:t>
      </w:r>
    </w:p>
    <w:p>
      <w:pPr>
        <w:rPr>
          <w:rFonts w:hint="default"/>
          <w:sz w:val="16"/>
          <w:szCs w:val="15"/>
          <w:highlight w:val="none"/>
          <w:lang w:val="pl-PL"/>
        </w:rPr>
      </w:pPr>
    </w:p>
    <w:bookmarkEnd w:id="27"/>
    <w:p>
      <w:pPr>
        <w:rPr>
          <w:rFonts w:hint="default"/>
          <w:sz w:val="16"/>
          <w:szCs w:val="15"/>
          <w:lang w:val="pl-PL"/>
        </w:rPr>
      </w:pPr>
      <w:bookmarkStart w:id="28" w:name="_Toc17288"/>
      <w:bookmarkStart w:id="29" w:name="_Toc20302"/>
    </w:p>
    <w:p>
      <w:pPr>
        <w:keepNext w:val="0"/>
        <w:keepLines w:val="0"/>
        <w:pageBreakBefore w:val="0"/>
        <w:widowControl/>
        <w:numPr>
          <w:ilvl w:val="0"/>
          <w:numId w:val="0"/>
        </w:numPr>
        <w:overflowPunct w:val="0"/>
        <w:bidi w:val="0"/>
        <w:snapToGrid/>
        <w:spacing w:before="0" w:after="120" w:line="276" w:lineRule="auto"/>
        <w:ind w:leftChars="0" w:right="0" w:rightChars="0"/>
        <w:jc w:val="both"/>
        <w:textAlignment w:val="auto"/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t>W projekcie wnętrz nie przewiduje się wymiany lub montażu dodatkowego oświetlenia w pomieszczeniach objętych zakresem opracowania.</w:t>
      </w:r>
    </w:p>
    <w:p>
      <w:pPr>
        <w:rPr>
          <w:rFonts w:hint="default" w:eastAsiaTheme="minorHAnsi" w:cstheme="minorBidi"/>
          <w:sz w:val="24"/>
          <w:lang w:val="pl-PL" w:eastAsia="ar-SA"/>
        </w:rPr>
      </w:pPr>
      <w:r>
        <w:rPr>
          <w:rFonts w:hint="default" w:eastAsiaTheme="minorHAnsi" w:cstheme="minorBidi"/>
          <w:sz w:val="24"/>
          <w:lang w:val="pl-PL" w:eastAsia="ar-SA"/>
        </w:rPr>
        <w:br w:type="page"/>
      </w:r>
    </w:p>
    <w:p>
      <w:pPr>
        <w:pStyle w:val="2"/>
        <w:bidi w:val="0"/>
        <w:ind w:left="248" w:leftChars="0" w:hanging="248" w:firstLineChars="0"/>
        <w:rPr>
          <w:rFonts w:hint="default"/>
          <w:lang w:val="pl-PL"/>
        </w:rPr>
      </w:pPr>
      <w:bookmarkStart w:id="30" w:name="_Toc16391"/>
      <w:r>
        <w:rPr>
          <w:rFonts w:hint="default"/>
          <w:lang w:val="pl-PL"/>
        </w:rPr>
        <w:t>ZESTAWIENIE RYSUNKÓW</w:t>
      </w:r>
      <w:bookmarkEnd w:id="28"/>
      <w:bookmarkEnd w:id="29"/>
      <w:bookmarkEnd w:id="30"/>
    </w:p>
    <w:tbl>
      <w:tblPr>
        <w:tblStyle w:val="21"/>
        <w:tblW w:w="9075" w:type="dxa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50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000000" w:themeColor="text1"/>
                <w:sz w:val="20"/>
                <w:szCs w:val="20"/>
                <w:vertAlign w:val="baseline"/>
                <w:lang w:val="pl-P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0"/>
                <w:szCs w:val="20"/>
                <w:vertAlign w:val="baseline"/>
                <w:lang w:val="pl-PL"/>
                <w14:textFill>
                  <w14:solidFill>
                    <w14:schemeClr w14:val="tx1"/>
                  </w14:solidFill>
                </w14:textFill>
              </w:rPr>
              <w:t>NR RYS.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000000" w:themeColor="text1"/>
                <w:sz w:val="20"/>
                <w:szCs w:val="20"/>
                <w:vertAlign w:val="baseline"/>
                <w:lang w:val="pl-P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b/>
                <w:bCs/>
                <w:color w:val="000000" w:themeColor="text1"/>
                <w:sz w:val="20"/>
                <w:szCs w:val="20"/>
                <w:vertAlign w:val="baseline"/>
                <w:lang w:val="pl-PL"/>
                <w14:textFill>
                  <w14:solidFill>
                    <w14:schemeClr w14:val="tx1"/>
                  </w14:solidFill>
                </w14:textFill>
              </w:rPr>
              <w:t>NAZWA RYSUNKU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000000" w:themeColor="text1"/>
                <w:sz w:val="20"/>
                <w:szCs w:val="20"/>
                <w:vertAlign w:val="baseline"/>
                <w:lang w:val="pl-P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0"/>
                <w:szCs w:val="20"/>
                <w:vertAlign w:val="baseline"/>
                <w:lang w:val="pl-PL"/>
                <w14:textFill>
                  <w14:solidFill>
                    <w14:schemeClr w14:val="tx1"/>
                  </w14:solidFill>
                </w14:textFill>
              </w:rPr>
              <w:t>SKALA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W.01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RZUT HALL WEJŚCIOWY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7F7F7F" w:themeColor="background1" w:themeShade="80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W.02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>ROZWINIĘCIA ŚCIAN HALL WEJŚCIOWY 1/2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W.03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>ROZWINIĘCIA ŚCIAN HALL WEJŚCIOWY 2/2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W.04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>AŻUROWA ŚCIANKA HPL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1:20, 1:5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W.05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WIDOK 3D - HALL WEJŚCIOWY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W.06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RZUT PORTIERNIA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W.07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>ROZWINIĘCIA ŚCIAN PORTIERNIA 1/2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W.08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>ROZWINIĘCIA ŚCIAN PORTIERNIA 2/2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W.09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WIDOK 3D - PORTIERNIA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W.10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RZUT WIATROŁAP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W.11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 w:ascii="Calibri" w:hAnsi="Calibri" w:eastAsia="Calibri" w:cs="Times New Roman"/>
                <w:color w:val="auto"/>
                <w:sz w:val="20"/>
                <w:szCs w:val="20"/>
                <w:vertAlign w:val="baseline"/>
                <w:lang w:val="pl-PL" w:eastAsia="en-US" w:bidi="ar-SA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>ROZWINIĘCIA ŚCIAN WIATROŁAP 1/2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W.12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>ROZWINIĘCIA ŚCIAN WIATROŁAP 2/2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W.13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WIDOK 3D - WIATROŁAP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W.14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 xml:space="preserve">RZUT ŁAZIENKA DLA OSÓB Z NIEPEŁNOSPRAWNOŚCIAMI 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W.15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 xml:space="preserve">ROZWINIĘCIA ŚCIAN </w:t>
            </w: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 xml:space="preserve">ŁAZIENKA DLA OSÓB Z NIEPEŁNOSPRAWNOŚCIAMI </w:t>
            </w: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 xml:space="preserve"> 1/2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W.16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 xml:space="preserve">ROZWINIĘCIA ŚCIAN </w:t>
            </w: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 xml:space="preserve">ŁAZIENKA DLA OSÓB Z NIEPEŁNOSPRAWNOŚCIAMI </w:t>
            </w: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 xml:space="preserve"> 2/2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W.17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 xml:space="preserve">WIDOK 3D - ŁAZIENKA DLA OSÓB Z NIEPEŁNOSPRAWNOŚCIAMI 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W.18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RZUT POMIESZCZENIE SZATNI + SZKOLENIA TRENERA PERSONALEGO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W.19</w:t>
            </w:r>
          </w:p>
        </w:tc>
        <w:tc>
          <w:tcPr>
            <w:tcW w:w="7050" w:type="dxa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b w:val="0"/>
                <w:bCs w:val="0"/>
                <w:color w:val="auto"/>
                <w:sz w:val="20"/>
                <w:szCs w:val="20"/>
                <w:vertAlign w:val="baseline"/>
                <w:lang w:val="pl-PL"/>
              </w:rPr>
              <w:t xml:space="preserve">ROZWINIĘCIA ŚCIAN </w:t>
            </w: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POMIESZCZENIE SZATNI + SZKOLENIA TRENERA PERSONALEGO</w:t>
            </w:r>
          </w:p>
        </w:tc>
        <w:tc>
          <w:tcPr>
            <w:tcW w:w="103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1:50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l-PL"/>
              </w:rPr>
              <w:t>W.20</w:t>
            </w:r>
          </w:p>
        </w:tc>
        <w:tc>
          <w:tcPr>
            <w:tcW w:w="7050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both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WIDOK 3D - POMIESZCZENIE SZATNI + SZKOLENIA TRENERA PERSONALEGO</w:t>
            </w:r>
          </w:p>
        </w:tc>
        <w:tc>
          <w:tcPr>
            <w:tcW w:w="1032" w:type="dxa"/>
            <w:shd w:val="clear" w:color="auto" w:fill="F1F1F1" w:themeFill="background1" w:themeFillShade="F2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pl-PL"/>
              </w:rPr>
              <w:t>-</w:t>
            </w:r>
          </w:p>
        </w:tc>
      </w:tr>
    </w:tbl>
    <w:p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br w:type="page"/>
      </w:r>
    </w:p>
    <w:p>
      <w:pPr>
        <w:pStyle w:val="3"/>
        <w:numPr>
          <w:ilvl w:val="1"/>
          <w:numId w:val="0"/>
        </w:numPr>
        <w:bidi w:val="0"/>
        <w:ind w:left="432" w:leftChars="0" w:hanging="432" w:firstLineChars="0"/>
        <w:rPr>
          <w:rFonts w:hint="default"/>
        </w:rPr>
      </w:pPr>
      <w:bookmarkStart w:id="31" w:name="_Toc26129"/>
      <w:bookmarkStart w:id="32" w:name="_Toc14153"/>
      <w:bookmarkStart w:id="33" w:name="_Toc22637"/>
      <w:bookmarkStart w:id="34" w:name="_Toc5327"/>
      <w:bookmarkStart w:id="35" w:name="_Toc18467"/>
      <w:r>
        <w:rPr>
          <w:rFonts w:hint="default"/>
        </w:rPr>
        <w:t>UWAGI KOŃCOWE</w:t>
      </w:r>
      <w:bookmarkEnd w:id="31"/>
      <w:bookmarkEnd w:id="32"/>
      <w:bookmarkEnd w:id="33"/>
      <w:bookmarkEnd w:id="34"/>
      <w:bookmarkEnd w:id="35"/>
    </w:p>
    <w:p>
      <w:pPr>
        <w:numPr>
          <w:ilvl w:val="0"/>
          <w:numId w:val="8"/>
        </w:numPr>
        <w:tabs>
          <w:tab w:val="left" w:pos="440"/>
        </w:tabs>
        <w:suppressAutoHyphens/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projekcie zastosowano wyłącznie urządzenia posiadające aktualne aprobaty  techniczne i certyfikaty zgodności, zgodnie z rozporządzeniem Ministra Spraw Wewnętrznych i Administracji z dnia 20 czerwca 2007 r. w sprawie wykazu wyrobów służących zapewnieniu bezpieczeństwa publicznego lub ochronie zdrowia i życia oraz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mienia, a także zasad wydawania dopuszczenia tych wyrobów do użytkowania (Dz. U. Nr 143, poz. 1002) oraz z rozporządzeniem Ministra Infrastruktury z dnia 11 sierpnia 2004 r. w sprawie sposobów deklarowania zgodności wyrobów budowlanych oraz sposobu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>znakowania ich znakiem budowlanym (Dz. U. Nr 198, poz. 2041).</w:t>
      </w:r>
    </w:p>
    <w:p>
      <w:pPr>
        <w:spacing w:after="0"/>
        <w:jc w:val="both"/>
      </w:pPr>
      <w:r>
        <w:rPr>
          <w:sz w:val="24"/>
          <w:szCs w:val="24"/>
        </w:rPr>
        <w:t>3. Przed przystąpieniem do prac budowlanych należy bezwzględnie sprawdzić wszystkie wymiary i rzędne na budowie. Zaistniałe niezgodności pomiędzy projektem architektoniczno-budowlanym i pozostałymi opracowaniami branżowymi a stanem istniejącym, należy wyjaśniać i uzgadniać z głównym projektantem i projektantami branżowymi.</w:t>
      </w:r>
    </w:p>
    <w:p>
      <w:pPr>
        <w:spacing w:after="0"/>
        <w:jc w:val="both"/>
      </w:pPr>
      <w:r>
        <w:rPr>
          <w:sz w:val="24"/>
          <w:szCs w:val="24"/>
        </w:rPr>
        <w:t>4. Szczegółowe rozmieszczenie wszystkich wewnętrznych instalacji w budynku wg branżowych projektów wykonawczych.</w:t>
      </w:r>
    </w:p>
    <w:p>
      <w:pPr>
        <w:spacing w:after="0"/>
        <w:jc w:val="both"/>
      </w:pPr>
      <w:r>
        <w:rPr>
          <w:sz w:val="24"/>
          <w:szCs w:val="24"/>
        </w:rPr>
        <w:t>5. Wszystkie prace przy wykonywaniu elementów budowlanych muszą być realizowane zgodnie z zasadami sztuki budowlanej oraz z zachowaniem szczególnego reżimu technologicznego.</w:t>
      </w:r>
    </w:p>
    <w:p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Wszystkie zastosowane w projekcie materiały, rozwiązania techniczne i urządzenia będą odpowiadały normom bezpieczeństwa ppoż. i bhp (posiadają odpowiednie atesty 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i aprobaty).</w:t>
      </w:r>
    </w:p>
    <w:p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7. Oznaczenia wszelkich przebić, przepustów i szachów dla potrzeb instalacji należy zawsze weryfikować w poszczególnych branżowych projektach wykonawczych.</w:t>
      </w:r>
    </w:p>
    <w:p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Szczegółowe rozmieszczenie wszystkich wewnętrznych instalacji w budynku 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wg branżowych projektów wykonawczych.</w:t>
      </w:r>
    </w:p>
    <w:p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9. Dla zaprojektowanych elementów nie konstrukcyjnych takich jak: ściany działowe, sufity podwieszane, obudowy kanałów instalacyjnych, posadzki, itp., dopuszcza się stosowanie innych systemów.</w:t>
      </w:r>
    </w:p>
    <w:p>
      <w:pPr>
        <w:spacing w:after="0"/>
        <w:jc w:val="both"/>
      </w:pPr>
      <w:r>
        <w:rPr>
          <w:sz w:val="24"/>
          <w:szCs w:val="24"/>
        </w:rPr>
        <w:t>10. W przypadku wszelkich wątpliwości lub zauważonych niezgodności poszczególnych elementów w planach, opisach czy zestawieniach robót należy zwrócić się na piśmie o ich wyjaśnienie.</w:t>
      </w:r>
    </w:p>
    <w:p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11. Uwagi i opisy zamieszczone w części rysunkowej oraz opisie technicznym projektu stanowią integralną część niniejszego opracowania.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12. Wszelkie zmiany w doborze materiałów budowlanych, wykończeniowych, technologii czy urządzeń mogą być wprowadzane jedynie za pisemną zgodą Jednostki Projektowej oraz Inwestora.</w:t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Uwaga: Wykonawca robót obowiązany  jest posiadać wymagane aprobaty techniczne na wszystkie zastosowane elementy budowlane i materiał oraz wymagane prawem dokumenty i certyfikaty.</w:t>
      </w:r>
    </w:p>
    <w:p>
      <w:pPr>
        <w:jc w:val="both"/>
        <w:rPr>
          <w:rFonts w:ascii="Calibri-Bold" w:hAnsi="Calibri-Bold"/>
          <w:b/>
          <w:bCs/>
          <w:color w:val="000000"/>
          <w:sz w:val="24"/>
          <w:szCs w:val="24"/>
        </w:rPr>
      </w:pPr>
      <w:r>
        <w:rPr>
          <w:rFonts w:ascii="Calibri-Bold" w:hAnsi="Calibri-Bold"/>
          <w:b/>
          <w:bCs/>
          <w:color w:val="000000"/>
          <w:sz w:val="24"/>
          <w:szCs w:val="24"/>
        </w:rPr>
        <w:t xml:space="preserve">Prace należy wykonać zgodnie obowiązującym prawem, normami i z zasadami wiedzy technicznej a niezgodności i opuszczenia nie mogą być podstawą do roszczeń z tego tytułu do projektanta lub Inwestora. Wykonawca nie może wykorzystywać na swą korzyść jakichkolwiek błędów, rozbieżności lub opuszczeń w dokumentacji, a o ich wykryciu powinien natychmiast powiadomić Inspektora Nadzoru, który podejmie decyzję o  wprowadzeniu odpowiednich poprawek, zmian lub uzupełnień. </w:t>
      </w:r>
    </w:p>
    <w:p>
      <w:pPr>
        <w:jc w:val="both"/>
        <w:rPr>
          <w:rFonts w:ascii="Calibri-Bold" w:hAnsi="Calibri-Bold"/>
          <w:b/>
          <w:bCs/>
          <w:color w:val="000000"/>
          <w:sz w:val="24"/>
          <w:szCs w:val="24"/>
        </w:rPr>
      </w:pPr>
    </w:p>
    <w:p>
      <w:pPr>
        <w:pStyle w:val="25"/>
        <w:jc w:val="both"/>
        <w:rPr>
          <w:b/>
          <w:i/>
          <w:sz w:val="20"/>
        </w:rPr>
      </w:pPr>
    </w:p>
    <w:p>
      <w:pPr>
        <w:pStyle w:val="25"/>
        <w:jc w:val="both"/>
        <w:rPr>
          <w:b/>
          <w:i/>
          <w:sz w:val="20"/>
        </w:rPr>
      </w:pPr>
    </w:p>
    <w:p>
      <w:pPr>
        <w:pStyle w:val="25"/>
        <w:jc w:val="both"/>
        <w:rPr>
          <w:b/>
          <w:i/>
          <w:sz w:val="20"/>
        </w:rPr>
      </w:pPr>
    </w:p>
    <w:p>
      <w:pPr>
        <w:pStyle w:val="25"/>
        <w:jc w:val="both"/>
        <w:rPr>
          <w:b/>
          <w:i/>
          <w:sz w:val="20"/>
        </w:rPr>
      </w:pPr>
    </w:p>
    <w:p>
      <w:pPr>
        <w:bidi w:val="0"/>
        <w:jc w:val="center"/>
        <w:rPr>
          <w:b/>
          <w:bCs/>
          <w:i/>
          <w:iCs/>
        </w:rPr>
      </w:pPr>
      <w:bookmarkStart w:id="36" w:name="_Toc30716"/>
      <w:bookmarkStart w:id="37" w:name="_Toc3176"/>
      <w:r>
        <w:rPr>
          <w:b/>
          <w:bCs/>
          <w:i/>
          <w:iCs/>
        </w:rPr>
        <w:t>OPRACOWALI:</w:t>
      </w:r>
      <w:bookmarkEnd w:id="36"/>
      <w:bookmarkEnd w:id="37"/>
    </w:p>
    <w:tbl>
      <w:tblPr>
        <w:tblStyle w:val="21"/>
        <w:tblpPr w:leftFromText="180" w:rightFromText="180" w:vertAnchor="text" w:horzAnchor="page" w:tblpX="1406" w:tblpY="555"/>
        <w:tblOverlap w:val="never"/>
        <w:tblW w:w="91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567"/>
        <w:gridCol w:w="42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4361" w:type="dxa"/>
            <w:vAlign w:val="top"/>
          </w:tcPr>
          <w:p>
            <w:pPr>
              <w:spacing w:after="0" w:line="240" w:lineRule="auto"/>
              <w:jc w:val="center"/>
              <w:rPr>
                <w:rFonts w:cs="Arial" w:asciiTheme="minorHAnsi" w:hAnsiTheme="minorHAnsi"/>
                <w:b/>
                <w:sz w:val="20"/>
              </w:rPr>
            </w:pPr>
            <w:r>
              <w:rPr>
                <w:rFonts w:hint="default" w:cs="Arial" w:asciiTheme="minorHAnsi" w:hAnsiTheme="minorHAnsi"/>
                <w:b/>
                <w:sz w:val="20"/>
                <w:lang w:val="pl-PL"/>
              </w:rPr>
              <w:t>DR</w:t>
            </w:r>
            <w:r>
              <w:rPr>
                <w:rFonts w:cs="Arial" w:asciiTheme="minorHAnsi" w:hAnsiTheme="minorHAnsi"/>
                <w:b/>
                <w:sz w:val="20"/>
              </w:rPr>
              <w:t xml:space="preserve"> INŻ. ARCH. MACIEJ JAMROŻY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cs="Arial" w:asciiTheme="minorHAnsi" w:hAnsiTheme="minorHAnsi"/>
                <w:b/>
                <w:sz w:val="20"/>
                <w:szCs w:val="18"/>
              </w:rPr>
            </w:pPr>
          </w:p>
        </w:tc>
        <w:tc>
          <w:tcPr>
            <w:tcW w:w="4252" w:type="dxa"/>
            <w:vAlign w:val="top"/>
          </w:tcPr>
          <w:p>
            <w:pPr>
              <w:spacing w:after="0" w:line="240" w:lineRule="auto"/>
              <w:jc w:val="center"/>
              <w:rPr>
                <w:rFonts w:hint="default" w:cs="Arial" w:asciiTheme="minorHAnsi" w:hAnsiTheme="minorHAnsi"/>
                <w:b/>
                <w:sz w:val="20"/>
                <w:lang w:val="pl-PL"/>
              </w:rPr>
            </w:pPr>
            <w:r>
              <w:rPr>
                <w:rFonts w:cs="Arial" w:asciiTheme="minorHAnsi" w:hAnsiTheme="minorHAnsi"/>
                <w:b/>
                <w:sz w:val="20"/>
              </w:rPr>
              <w:t>INŻ. MA</w:t>
            </w:r>
            <w:r>
              <w:rPr>
                <w:rFonts w:cs="Arial" w:asciiTheme="minorHAnsi" w:hAnsiTheme="minorHAnsi"/>
                <w:b/>
                <w:sz w:val="20"/>
                <w:lang w:val="pl-PL"/>
              </w:rPr>
              <w:t>Ł</w:t>
            </w:r>
            <w:r>
              <w:rPr>
                <w:rFonts w:hint="default" w:cs="Arial" w:asciiTheme="minorHAnsi" w:hAnsiTheme="minorHAnsi"/>
                <w:b/>
                <w:sz w:val="20"/>
                <w:lang w:val="pl-PL"/>
              </w:rPr>
              <w:t>GORZATA PUCHYR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4361" w:type="dxa"/>
            <w:vAlign w:val="top"/>
          </w:tcPr>
          <w:p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16"/>
              </w:rPr>
            </w:pPr>
            <w:r>
              <w:rPr>
                <w:rFonts w:asciiTheme="minorHAnsi" w:hAnsiTheme="minorHAnsi"/>
                <w:b/>
                <w:sz w:val="20"/>
                <w:szCs w:val="16"/>
              </w:rPr>
              <w:t>MPOIA/052/2013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52" w:type="dxa"/>
            <w:vAlign w:val="top"/>
          </w:tcPr>
          <w:p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pStyle w:val="27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4"/>
                <w:szCs w:val="16"/>
              </w:rPr>
              <w:t>UPRAWNIENIA BUDOWLANE W SPECJALNOŚCI ARCHITEKTONICZNEJ DO PROJEKTOWANIA BEZ OGRANICZEŃ</w:t>
            </w:r>
          </w:p>
        </w:tc>
        <w:tc>
          <w:tcPr>
            <w:tcW w:w="567" w:type="dxa"/>
          </w:tcPr>
          <w:p>
            <w:pPr>
              <w:pStyle w:val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2" w:type="dxa"/>
            <w:vAlign w:val="top"/>
          </w:tcPr>
          <w:p>
            <w:pPr>
              <w:pStyle w:val="27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>
      <w:pPr>
        <w:pStyle w:val="25"/>
        <w:jc w:val="center"/>
        <w:rPr>
          <w:b/>
          <w:i/>
          <w:sz w:val="20"/>
        </w:rPr>
      </w:pPr>
      <w:r>
        <w:rPr>
          <w:b/>
          <w:i/>
          <w:sz w:val="20"/>
        </w:rPr>
        <w:t>- - -</w:t>
      </w:r>
    </w:p>
    <w:p>
      <w:pPr>
        <w:rPr>
          <w:b/>
          <w:i/>
          <w:sz w:val="20"/>
        </w:rPr>
      </w:pPr>
      <w:r>
        <w:rPr>
          <w:b/>
          <w:i/>
          <w:sz w:val="20"/>
        </w:rPr>
        <w:br w:type="page"/>
      </w:r>
    </w:p>
    <w:p>
      <w:pPr>
        <w:pStyle w:val="25"/>
        <w:jc w:val="center"/>
        <w:rPr>
          <w:rFonts w:hint="default" w:ascii="Calibri" w:hAnsi="Calibri" w:cs="Calibri"/>
          <w:b/>
          <w:bCs/>
          <w:i w:val="0"/>
          <w:iCs w:val="0"/>
          <w:color w:val="auto"/>
          <w:sz w:val="32"/>
          <w:szCs w:val="32"/>
          <w:lang w:val="pl-PL" w:eastAsia="en-US"/>
        </w:rPr>
      </w:pPr>
      <w:r>
        <w:rPr>
          <w:rFonts w:hint="default" w:ascii="Calibri" w:hAnsi="Calibri" w:cs="Calibri"/>
          <w:b/>
          <w:bCs/>
          <w:i w:val="0"/>
          <w:iCs w:val="0"/>
          <w:color w:val="auto"/>
          <w:sz w:val="32"/>
          <w:szCs w:val="32"/>
          <w:lang w:val="pl-PL" w:eastAsia="en-US"/>
        </w:rPr>
        <w:t>ZESTAWIENIE MATERIAŁÓW</w:t>
      </w:r>
    </w:p>
    <w:p>
      <w:pPr>
        <w:pStyle w:val="25"/>
        <w:jc w:val="center"/>
        <w:rPr>
          <w:rFonts w:hint="default" w:ascii="Calibri" w:hAnsi="Calibri" w:cs="Calibri"/>
          <w:b/>
          <w:bCs/>
          <w:i w:val="0"/>
          <w:iCs w:val="0"/>
          <w:color w:val="auto"/>
          <w:sz w:val="32"/>
          <w:szCs w:val="32"/>
          <w:lang w:val="pl-PL" w:eastAsia="en-US"/>
        </w:rPr>
      </w:pPr>
    </w:p>
    <w:p>
      <w:pPr>
        <w:pStyle w:val="25"/>
        <w:numPr>
          <w:ilvl w:val="0"/>
          <w:numId w:val="9"/>
        </w:numPr>
        <w:ind w:left="420" w:leftChars="0" w:hanging="420" w:firstLine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Farba emulsyjna do ścian wewętrznych kolor biały RAL 9010</w:t>
      </w:r>
    </w:p>
    <w:p>
      <w:pPr>
        <w:pStyle w:val="25"/>
        <w:numPr>
          <w:numId w:val="0"/>
        </w:numPr>
        <w:ind w:leftChars="0"/>
        <w:jc w:val="lef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821940" cy="1873885"/>
            <wp:effectExtent l="0" t="0" r="16510" b="12065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1940" cy="1873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5"/>
        <w:numPr>
          <w:numId w:val="0"/>
        </w:numPr>
        <w:ind w:leftChars="0"/>
        <w:jc w:val="left"/>
        <w:rPr>
          <w:rFonts w:ascii="SimSun" w:hAnsi="SimSun" w:eastAsia="SimSun" w:cs="SimSun"/>
          <w:sz w:val="24"/>
          <w:szCs w:val="24"/>
        </w:rPr>
      </w:pPr>
    </w:p>
    <w:p>
      <w:pPr>
        <w:pStyle w:val="25"/>
        <w:numPr>
          <w:ilvl w:val="0"/>
          <w:numId w:val="9"/>
        </w:numPr>
        <w:ind w:left="420" w:lef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Farba emulsyjna hydrofobowa do ścian wewętrznych przeznaczona do pomieszczeń mokrych kolor biały RAL 9010</w:t>
      </w:r>
    </w:p>
    <w:p>
      <w:pPr>
        <w:pStyle w:val="25"/>
        <w:numPr>
          <w:numId w:val="0"/>
        </w:numPr>
        <w:ind w:leftChars="0"/>
        <w:jc w:val="both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821940" cy="1873885"/>
            <wp:effectExtent l="0" t="0" r="16510" b="12065"/>
            <wp:docPr id="4" name="Picture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1940" cy="1873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5"/>
        <w:numPr>
          <w:numId w:val="0"/>
        </w:numPr>
        <w:ind w:leftChars="0"/>
        <w:jc w:val="left"/>
        <w:rPr>
          <w:rFonts w:hint="default" w:ascii="SimSun" w:hAnsi="SimSun" w:eastAsia="SimSun" w:cs="SimSun"/>
          <w:sz w:val="24"/>
          <w:szCs w:val="24"/>
          <w:lang w:val="pl-PL" w:eastAsia="en-US"/>
        </w:rPr>
      </w:pPr>
    </w:p>
    <w:p>
      <w:pPr>
        <w:pStyle w:val="25"/>
        <w:numPr>
          <w:ilvl w:val="0"/>
          <w:numId w:val="9"/>
        </w:numPr>
        <w:ind w:left="420" w:leftChars="0" w:hanging="420" w:firstLine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Tapeta w pomieszczeniui hallu wejściowego, portietni</w:t>
      </w:r>
    </w:p>
    <w:p>
      <w:pPr>
        <w:pStyle w:val="25"/>
        <w:numPr>
          <w:numId w:val="0"/>
        </w:numPr>
        <w:ind w:left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Rodzaj wzoru: Gips / Beton</w:t>
      </w:r>
    </w:p>
    <w:p>
      <w:pPr>
        <w:pStyle w:val="25"/>
        <w:numPr>
          <w:numId w:val="0"/>
        </w:numPr>
        <w:ind w:left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Kolor: Biały</w:t>
      </w:r>
    </w:p>
    <w:p>
      <w:pPr>
        <w:pStyle w:val="25"/>
        <w:numPr>
          <w:numId w:val="0"/>
        </w:numPr>
        <w:ind w:left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NCS S 0500-N</w:t>
      </w:r>
    </w:p>
    <w:p>
      <w:pPr>
        <w:pStyle w:val="25"/>
        <w:numPr>
          <w:numId w:val="0"/>
        </w:numPr>
        <w:ind w:left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Gramatura: 360</w:t>
      </w:r>
    </w:p>
    <w:p>
      <w:pPr>
        <w:pStyle w:val="25"/>
        <w:numPr>
          <w:numId w:val="0"/>
        </w:numPr>
        <w:ind w:left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montserrat" w:hAnsi="montserrat" w:eastAsia="montserrat" w:cs="montserrat"/>
          <w:i w:val="0"/>
          <w:iCs w:val="0"/>
          <w:caps w:val="0"/>
          <w:color w:val="000000"/>
          <w:spacing w:val="0"/>
          <w:kern w:val="0"/>
          <w:sz w:val="22"/>
          <w:szCs w:val="22"/>
          <w:u w:val="none"/>
          <w:bdr w:val="none" w:color="auto" w:sz="0" w:space="0"/>
          <w:lang w:val="pl-PL" w:eastAsia="en-US" w:bidi="ar"/>
        </w:rPr>
      </w:pPr>
      <w:r>
        <w:rPr>
          <w:rFonts w:hint="default" w:ascii="montserrat" w:hAnsi="montserrat" w:eastAsia="montserrat" w:cs="montserrat"/>
          <w:i w:val="0"/>
          <w:iCs w:val="0"/>
          <w:caps w:val="0"/>
          <w:color w:val="000000"/>
          <w:spacing w:val="0"/>
          <w:kern w:val="0"/>
          <w:sz w:val="22"/>
          <w:szCs w:val="22"/>
          <w:u w:val="none"/>
          <w:bdr w:val="none" w:color="auto" w:sz="0" w:space="0"/>
          <w:lang w:val="pl-PL" w:eastAsia="en-US" w:bidi="ar"/>
        </w:rPr>
        <w:drawing>
          <wp:inline distT="0" distB="0" distL="114300" distR="114300">
            <wp:extent cx="2270760" cy="2049145"/>
            <wp:effectExtent l="0" t="0" r="15240" b="8255"/>
            <wp:docPr id="2" name="Picture 2" descr="11282-metropolitan-studio-suite-res_productSh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11282-metropolitan-studio-suite-res_productShow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montserrat" w:hAnsi="montserrat" w:eastAsia="montserrat" w:cs="montserrat"/>
          <w:i w:val="0"/>
          <w:iCs w:val="0"/>
          <w:caps w:val="0"/>
          <w:color w:val="000000"/>
          <w:spacing w:val="0"/>
          <w:kern w:val="0"/>
          <w:sz w:val="22"/>
          <w:szCs w:val="22"/>
          <w:u w:val="none"/>
          <w:bdr w:val="none" w:color="auto" w:sz="0" w:space="0"/>
          <w:lang w:val="pl-PL" w:eastAsia="en-US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montserrat" w:hAnsi="montserrat" w:eastAsia="montserrat" w:cs="montserrat"/>
          <w:i w:val="0"/>
          <w:iCs w:val="0"/>
          <w:caps w:val="0"/>
          <w:color w:val="000000"/>
          <w:spacing w:val="0"/>
          <w:kern w:val="0"/>
          <w:sz w:val="22"/>
          <w:szCs w:val="22"/>
          <w:u w:val="none"/>
          <w:bdr w:val="none" w:color="auto" w:sz="0" w:space="0"/>
          <w:lang w:val="pl-PL" w:eastAsia="en-US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montserrat" w:hAnsi="montserrat" w:eastAsia="montserrat" w:cs="montserrat"/>
          <w:i w:val="0"/>
          <w:iCs w:val="0"/>
          <w:caps w:val="0"/>
          <w:color w:val="000000"/>
          <w:spacing w:val="0"/>
          <w:kern w:val="0"/>
          <w:sz w:val="22"/>
          <w:szCs w:val="22"/>
          <w:u w:val="none"/>
          <w:bdr w:val="none" w:color="auto" w:sz="0" w:space="0"/>
          <w:lang w:val="pl-PL" w:eastAsia="en-US" w:bidi="ar"/>
        </w:rPr>
      </w:pPr>
    </w:p>
    <w:p>
      <w:pPr>
        <w:pStyle w:val="25"/>
        <w:numPr>
          <w:ilvl w:val="0"/>
          <w:numId w:val="9"/>
        </w:numPr>
        <w:ind w:left="420" w:leftChars="0" w:hanging="420" w:firstLine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Posadzka w pomieszczeniu szatni /szkoleniu trenera personalnego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Wykładzina winylowa do zastosowania w siłowniach i intensywnie użytkowanych pomieszczeniach np. szatniach. Wysoce odporna na wgniecenia resztkowe i zużycie, ułatwia także przemieszczania obciążeń toczonych. Trwała i łatwa w czyszczeniu i konserwacji.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Typ produktu wg ISO: Heterogeniczne wykładziny podłogowe z PCW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Grubość wartsyw użytkowej: 0,80 mm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Grubość całkowita: 2,00 mm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Kolor: Jasnoszary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drawing>
          <wp:inline distT="0" distB="0" distL="114300" distR="114300">
            <wp:extent cx="2596515" cy="1464310"/>
            <wp:effectExtent l="0" t="0" r="13335" b="2540"/>
            <wp:docPr id="3" name="Picture 3" descr="THH_OMNISPORTS_Uni_Sil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HH_OMNISPORTS_Uni_Silver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</w:p>
    <w:p>
      <w:pPr>
        <w:pStyle w:val="25"/>
        <w:numPr>
          <w:ilvl w:val="0"/>
          <w:numId w:val="9"/>
        </w:numPr>
        <w:ind w:left="420" w:leftChars="0" w:hanging="420" w:firstLine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Płytki ścienne w pomieszczeniu łazienki dla osób z niepełnosprawnością</w:t>
      </w:r>
    </w:p>
    <w:p>
      <w:pPr>
        <w:pStyle w:val="25"/>
        <w:numPr>
          <w:ilvl w:val="0"/>
          <w:numId w:val="0"/>
        </w:numPr>
        <w:ind w:left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Wymiar: 30,00 x 60,00 cm</w:t>
      </w:r>
    </w:p>
    <w:p>
      <w:pPr>
        <w:pStyle w:val="25"/>
        <w:numPr>
          <w:ilvl w:val="0"/>
          <w:numId w:val="0"/>
        </w:numPr>
        <w:ind w:left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Kolor: Jasnoszary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</w:p>
    <w:p>
      <w:pPr>
        <w:pStyle w:val="25"/>
        <w:numPr>
          <w:ilvl w:val="0"/>
          <w:numId w:val="9"/>
        </w:numPr>
        <w:ind w:left="420" w:leftChars="0" w:hanging="420" w:firstLineChars="0"/>
        <w:jc w:val="left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Wyposażenie łazienki dla osób z niepełnosprawnością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420"/>
        </w:tabs>
        <w:spacing w:before="0" w:beforeAutospacing="0" w:after="0" w:afterAutospacing="0"/>
        <w:ind w:left="840" w:leftChars="0" w:right="0" w:righ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Podtynkowy system instalacyjny do suchej zabudowy (karton-gips) - dla osób o ograniczonej sprawności ruchowej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420"/>
        </w:tabs>
        <w:spacing w:before="0" w:beforeAutospacing="0" w:after="0" w:afterAutospacing="0"/>
        <w:ind w:left="840" w:leftChars="0" w:right="0" w:righ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Umywalka 66 x 55 cm ścienna z dostępem dla osób z niepełnosprawnością kolor biały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420"/>
        </w:tabs>
        <w:spacing w:before="0" w:beforeAutospacing="0" w:after="0" w:afterAutospacing="0"/>
        <w:ind w:left="840" w:leftChars="0" w:right="0" w:righ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Poręcz o długości 65,00 cm (montowana do podtynkowego stelaża do montażu poręczy)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420"/>
        </w:tabs>
        <w:spacing w:before="0" w:beforeAutospacing="0" w:after="0" w:afterAutospacing="0"/>
        <w:ind w:left="840" w:leftChars="0" w:right="0" w:righ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Poręcz uchylna 60,00 cm z uchwytem na papier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420"/>
        </w:tabs>
        <w:spacing w:before="0" w:beforeAutospacing="0" w:after="0" w:afterAutospacing="0"/>
        <w:ind w:left="840" w:leftChars="0" w:right="0" w:righ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Poręcz uchylna 60,00 cm (montowana do podtynkowego stelaża do montażu poręczy)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420"/>
        </w:tabs>
        <w:spacing w:before="0" w:beforeAutospacing="0" w:after="0" w:afterAutospacing="0"/>
        <w:ind w:left="840" w:leftChars="0" w:right="0" w:righ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Poręcz uchylna 60,00 cm (montowana do podtynkowego stelaża do montażu poręczy)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420"/>
        </w:tabs>
        <w:spacing w:before="0" w:beforeAutospacing="0" w:after="0" w:afterAutospacing="0"/>
        <w:ind w:left="840" w:leftChars="0" w:right="0" w:righ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Lustro 80,00 x 65,00 cm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420"/>
        </w:tabs>
        <w:spacing w:before="0" w:beforeAutospacing="0" w:after="0" w:afterAutospacing="0"/>
        <w:ind w:left="840" w:leftChars="0" w:right="0" w:righ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Szczotka do WC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420"/>
        </w:tabs>
        <w:spacing w:before="0" w:beforeAutospacing="0" w:after="0" w:afterAutospacing="0"/>
        <w:ind w:left="840" w:leftChars="0" w:right="0" w:rightChars="0" w:hanging="420" w:firstLineChars="0"/>
        <w:jc w:val="both"/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</w:pPr>
      <w:r>
        <w:rPr>
          <w:rFonts w:hint="default" w:ascii="Calibri" w:hAnsi="Calibri" w:cs="Calibri"/>
          <w:b w:val="0"/>
          <w:bCs w:val="0"/>
          <w:i w:val="0"/>
          <w:iCs w:val="0"/>
          <w:color w:val="auto"/>
          <w:sz w:val="24"/>
          <w:szCs w:val="24"/>
          <w:lang w:val="pl-PL" w:eastAsia="en-US"/>
        </w:rPr>
        <w:t>Kosz łazienkowy</w:t>
      </w:r>
      <w:bookmarkStart w:id="38" w:name="_GoBack"/>
      <w:bookmarkEnd w:id="38"/>
    </w:p>
    <w:sectPr>
      <w:headerReference r:id="rId5" w:type="default"/>
      <w:pgSz w:w="11906" w:h="16838"/>
      <w:pgMar w:top="1134" w:right="1417" w:bottom="1276" w:left="1417" w:header="708" w:footer="354" w:gutter="0"/>
      <w:pgBorders>
        <w:top w:val="single" w:color="7F7F7F" w:themeColor="text1" w:themeTint="7F" w:sz="4" w:space="1"/>
        <w:left w:val="none" w:sz="0" w:space="0"/>
        <w:bottom w:val="single" w:color="7F7F7F" w:themeColor="text1" w:themeTint="7F" w:sz="4" w:space="1"/>
        <w:right w:val="none" w:sz="0" w:space="0"/>
      </w:pgBorders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Narrow">
    <w:altName w:val="Arial"/>
    <w:panose1 w:val="020B0606020202030204"/>
    <w:charset w:val="EE"/>
    <w:family w:val="swiss"/>
    <w:pitch w:val="default"/>
    <w:sig w:usb0="00000000" w:usb1="00000000" w:usb2="00000000" w:usb3="00000000" w:csb0="2000009F" w:csb1="DFD70000"/>
  </w:font>
  <w:font w:name="Verdana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-Bold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ontserra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1"/>
      <w:tblW w:w="2913" w:type="dxa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0" w:type="dxa"/>
      </w:tblCellMar>
    </w:tblPr>
    <w:tblGrid>
      <w:gridCol w:w="2913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0" w:type="dxa"/>
        </w:tblCellMar>
      </w:tblPrEx>
      <w:tc>
        <w:tcPr>
          <w:tcW w:w="2913" w:type="dxa"/>
          <w:tcBorders>
            <w:left w:val="dotted" w:color="auto" w:sz="4" w:space="0"/>
            <w:right w:val="dotted" w:color="auto" w:sz="4" w:space="0"/>
          </w:tcBorders>
        </w:tcPr>
        <w:p>
          <w:pPr>
            <w:pStyle w:val="17"/>
          </w:pPr>
        </w:p>
      </w:tc>
    </w:tr>
  </w:tbl>
  <w:p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6BDE11"/>
    <w:multiLevelType w:val="singleLevel"/>
    <w:tmpl w:val="9B6BDE1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1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bullet"/>
      <w:lvlText w:val=""/>
      <w:lvlJc w:val="left"/>
      <w:pPr>
        <w:ind w:left="1428" w:hanging="360"/>
      </w:pPr>
      <w:rPr>
        <w:rFonts w:hint="default" w:ascii="Wingdings" w:hAnsi="Wingdings" w:cs="Wingdings"/>
      </w:rPr>
    </w:lvl>
    <w:lvl w:ilvl="1" w:tentative="0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 w:cs="Wingdings"/>
      </w:rPr>
    </w:lvl>
  </w:abstractNum>
  <w:abstractNum w:abstractNumId="2">
    <w:nsid w:val="BC2B4802"/>
    <w:multiLevelType w:val="singleLevel"/>
    <w:tmpl w:val="BC2B480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540" w:leftChars="0" w:hanging="420" w:firstLineChars="0"/>
      </w:pPr>
      <w:rPr>
        <w:rFonts w:hint="default" w:ascii="Wingdings" w:hAnsi="Wingdings"/>
        <w:sz w:val="13"/>
      </w:rPr>
    </w:lvl>
  </w:abstractNum>
  <w:abstractNum w:abstractNumId="3">
    <w:nsid w:val="C7BEE702"/>
    <w:multiLevelType w:val="multilevel"/>
    <w:tmpl w:val="C7BEE702"/>
    <w:lvl w:ilvl="0" w:tentative="0">
      <w:start w:val="1"/>
      <w:numFmt w:val="decimal"/>
      <w:pStyle w:val="2"/>
      <w:suff w:val="space"/>
      <w:lvlText w:val="%1."/>
      <w:lvlJc w:val="left"/>
      <w:pPr>
        <w:tabs>
          <w:tab w:val="left" w:pos="0"/>
        </w:tabs>
        <w:ind w:left="248" w:leftChars="0" w:hanging="248" w:firstLineChars="0"/>
      </w:pPr>
      <w:rPr>
        <w:rFonts w:hint="default" w:ascii="Calibri" w:hAnsi="Calibri" w:eastAsia="SimSun" w:cs="SimSun"/>
        <w:b/>
        <w:bCs/>
      </w:rPr>
    </w:lvl>
    <w:lvl w:ilvl="1" w:tentative="0">
      <w:start w:val="1"/>
      <w:numFmt w:val="decimal"/>
      <w:pStyle w:val="3"/>
      <w:suff w:val="space"/>
      <w:lvlText w:val="%1.%2"/>
      <w:lvlJc w:val="left"/>
      <w:pPr>
        <w:tabs>
          <w:tab w:val="left" w:pos="0"/>
        </w:tabs>
        <w:ind w:left="576" w:hanging="576"/>
      </w:pPr>
      <w:rPr>
        <w:rFonts w:hint="default" w:ascii="Calibri" w:hAnsi="Calibri" w:eastAsia="Calibri" w:cs="Calibri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tabs>
          <w:tab w:val="left" w:pos="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CED0D6E3"/>
    <w:multiLevelType w:val="singleLevel"/>
    <w:tmpl w:val="CED0D6E3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D1D32C98"/>
    <w:multiLevelType w:val="multilevel"/>
    <w:tmpl w:val="D1D32C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5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  <w:sz w:val="15"/>
        <w:szCs w:val="15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6">
    <w:nsid w:val="05150D3E"/>
    <w:multiLevelType w:val="singleLevel"/>
    <w:tmpl w:val="05150D3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  <w:b/>
        <w:bCs/>
        <w:color w:val="000000" w:themeColor="text1"/>
        <w:sz w:val="22"/>
        <w:szCs w:val="22"/>
        <w14:textFill>
          <w14:solidFill>
            <w14:schemeClr w14:val="tx1"/>
          </w14:solidFill>
        </w14:textFill>
      </w:rPr>
    </w:lvl>
  </w:abstractNum>
  <w:abstractNum w:abstractNumId="7">
    <w:nsid w:val="12B2E4DE"/>
    <w:multiLevelType w:val="singleLevel"/>
    <w:tmpl w:val="12B2E4DE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20"/>
        <w:szCs w:val="20"/>
      </w:rPr>
    </w:lvl>
  </w:abstractNum>
  <w:abstractNum w:abstractNumId="8">
    <w:nsid w:val="69B81544"/>
    <w:multiLevelType w:val="multilevel"/>
    <w:tmpl w:val="69B81544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FE016A1"/>
    <w:multiLevelType w:val="multilevel"/>
    <w:tmpl w:val="7FE016A1"/>
    <w:lvl w:ilvl="0" w:tentative="0">
      <w:start w:val="1"/>
      <w:numFmt w:val="decimal"/>
      <w:pStyle w:val="41"/>
      <w:lvlText w:val="%1.0."/>
      <w:lvlJc w:val="left"/>
      <w:pPr>
        <w:ind w:left="390" w:hanging="39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098" w:hanging="39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609"/>
    <w:rsid w:val="00000A34"/>
    <w:rsid w:val="0000122E"/>
    <w:rsid w:val="00001369"/>
    <w:rsid w:val="00002BDA"/>
    <w:rsid w:val="00003A1F"/>
    <w:rsid w:val="00004DAB"/>
    <w:rsid w:val="00010C3D"/>
    <w:rsid w:val="000164D4"/>
    <w:rsid w:val="00016643"/>
    <w:rsid w:val="00017011"/>
    <w:rsid w:val="000205EA"/>
    <w:rsid w:val="000240DC"/>
    <w:rsid w:val="00024B25"/>
    <w:rsid w:val="00025645"/>
    <w:rsid w:val="00027783"/>
    <w:rsid w:val="0003021F"/>
    <w:rsid w:val="00030CEC"/>
    <w:rsid w:val="0003153A"/>
    <w:rsid w:val="00031CAB"/>
    <w:rsid w:val="00032F80"/>
    <w:rsid w:val="0003348C"/>
    <w:rsid w:val="0003428D"/>
    <w:rsid w:val="00034550"/>
    <w:rsid w:val="000372E6"/>
    <w:rsid w:val="00041316"/>
    <w:rsid w:val="000449A5"/>
    <w:rsid w:val="00052530"/>
    <w:rsid w:val="00061EFC"/>
    <w:rsid w:val="000620BF"/>
    <w:rsid w:val="00062E03"/>
    <w:rsid w:val="00062FD6"/>
    <w:rsid w:val="00070857"/>
    <w:rsid w:val="00070FEB"/>
    <w:rsid w:val="000715E3"/>
    <w:rsid w:val="00071F40"/>
    <w:rsid w:val="0008514C"/>
    <w:rsid w:val="000862FA"/>
    <w:rsid w:val="00093DE2"/>
    <w:rsid w:val="000A0926"/>
    <w:rsid w:val="000A225F"/>
    <w:rsid w:val="000A22BD"/>
    <w:rsid w:val="000A23A1"/>
    <w:rsid w:val="000A2A5E"/>
    <w:rsid w:val="000A6102"/>
    <w:rsid w:val="000B04D1"/>
    <w:rsid w:val="000B0C7A"/>
    <w:rsid w:val="000B1779"/>
    <w:rsid w:val="000B2886"/>
    <w:rsid w:val="000C5157"/>
    <w:rsid w:val="000D17A5"/>
    <w:rsid w:val="000D1F29"/>
    <w:rsid w:val="000D71DC"/>
    <w:rsid w:val="000D7D1D"/>
    <w:rsid w:val="000E0794"/>
    <w:rsid w:val="000E0CB8"/>
    <w:rsid w:val="000E5427"/>
    <w:rsid w:val="000E7DD8"/>
    <w:rsid w:val="000F0E40"/>
    <w:rsid w:val="000F311A"/>
    <w:rsid w:val="00104569"/>
    <w:rsid w:val="001071CF"/>
    <w:rsid w:val="00107778"/>
    <w:rsid w:val="001105AF"/>
    <w:rsid w:val="00112DFA"/>
    <w:rsid w:val="001140DD"/>
    <w:rsid w:val="0011510B"/>
    <w:rsid w:val="0011724D"/>
    <w:rsid w:val="00120989"/>
    <w:rsid w:val="00124FE9"/>
    <w:rsid w:val="00126009"/>
    <w:rsid w:val="0012716C"/>
    <w:rsid w:val="00131159"/>
    <w:rsid w:val="0013486B"/>
    <w:rsid w:val="00134F06"/>
    <w:rsid w:val="001359D7"/>
    <w:rsid w:val="001539C5"/>
    <w:rsid w:val="001544CD"/>
    <w:rsid w:val="00160E14"/>
    <w:rsid w:val="00163508"/>
    <w:rsid w:val="00164547"/>
    <w:rsid w:val="001649C8"/>
    <w:rsid w:val="00164CFF"/>
    <w:rsid w:val="00170B3D"/>
    <w:rsid w:val="00171206"/>
    <w:rsid w:val="00173C9D"/>
    <w:rsid w:val="001755C0"/>
    <w:rsid w:val="00177724"/>
    <w:rsid w:val="00192A06"/>
    <w:rsid w:val="00192D17"/>
    <w:rsid w:val="00193E79"/>
    <w:rsid w:val="001A0125"/>
    <w:rsid w:val="001A41DB"/>
    <w:rsid w:val="001A50DB"/>
    <w:rsid w:val="001B292E"/>
    <w:rsid w:val="001B706F"/>
    <w:rsid w:val="001B7333"/>
    <w:rsid w:val="001C116E"/>
    <w:rsid w:val="001C1D58"/>
    <w:rsid w:val="001C272B"/>
    <w:rsid w:val="001C3ECD"/>
    <w:rsid w:val="001D20BF"/>
    <w:rsid w:val="001D2594"/>
    <w:rsid w:val="001D423A"/>
    <w:rsid w:val="001D4EA2"/>
    <w:rsid w:val="001D558B"/>
    <w:rsid w:val="001D5C49"/>
    <w:rsid w:val="001E0817"/>
    <w:rsid w:val="001E2ADE"/>
    <w:rsid w:val="001E504D"/>
    <w:rsid w:val="001F3D3E"/>
    <w:rsid w:val="001F5C24"/>
    <w:rsid w:val="00200B67"/>
    <w:rsid w:val="002038F5"/>
    <w:rsid w:val="00204F84"/>
    <w:rsid w:val="00212D5B"/>
    <w:rsid w:val="00215CD5"/>
    <w:rsid w:val="002169BE"/>
    <w:rsid w:val="00220D35"/>
    <w:rsid w:val="002227E7"/>
    <w:rsid w:val="0022350A"/>
    <w:rsid w:val="0023144B"/>
    <w:rsid w:val="002322E0"/>
    <w:rsid w:val="00234950"/>
    <w:rsid w:val="00235473"/>
    <w:rsid w:val="00236E00"/>
    <w:rsid w:val="00244F3C"/>
    <w:rsid w:val="00246CAB"/>
    <w:rsid w:val="00260734"/>
    <w:rsid w:val="0026520C"/>
    <w:rsid w:val="00270092"/>
    <w:rsid w:val="00271ACE"/>
    <w:rsid w:val="00275559"/>
    <w:rsid w:val="00275C30"/>
    <w:rsid w:val="00276A08"/>
    <w:rsid w:val="002777AD"/>
    <w:rsid w:val="00284437"/>
    <w:rsid w:val="00291AB7"/>
    <w:rsid w:val="00295414"/>
    <w:rsid w:val="00295DE4"/>
    <w:rsid w:val="00297152"/>
    <w:rsid w:val="00297636"/>
    <w:rsid w:val="002A03C0"/>
    <w:rsid w:val="002A1AD7"/>
    <w:rsid w:val="002A6152"/>
    <w:rsid w:val="002B0C08"/>
    <w:rsid w:val="002B2A84"/>
    <w:rsid w:val="002B32DE"/>
    <w:rsid w:val="002B4A62"/>
    <w:rsid w:val="002B6482"/>
    <w:rsid w:val="002C1C6A"/>
    <w:rsid w:val="002C4ADA"/>
    <w:rsid w:val="002C51C3"/>
    <w:rsid w:val="002D4F61"/>
    <w:rsid w:val="002D67D1"/>
    <w:rsid w:val="002E3E04"/>
    <w:rsid w:val="002E657F"/>
    <w:rsid w:val="002F4DC7"/>
    <w:rsid w:val="00302F6E"/>
    <w:rsid w:val="00313041"/>
    <w:rsid w:val="00313BDE"/>
    <w:rsid w:val="003176B9"/>
    <w:rsid w:val="00321055"/>
    <w:rsid w:val="00323D8E"/>
    <w:rsid w:val="00324F19"/>
    <w:rsid w:val="003268A2"/>
    <w:rsid w:val="00326FDF"/>
    <w:rsid w:val="00327777"/>
    <w:rsid w:val="0033083F"/>
    <w:rsid w:val="00330BA4"/>
    <w:rsid w:val="00332C1F"/>
    <w:rsid w:val="00332FED"/>
    <w:rsid w:val="00334A15"/>
    <w:rsid w:val="0034042E"/>
    <w:rsid w:val="00340DB2"/>
    <w:rsid w:val="00340E7E"/>
    <w:rsid w:val="00344B5A"/>
    <w:rsid w:val="003463AA"/>
    <w:rsid w:val="00346575"/>
    <w:rsid w:val="003465E1"/>
    <w:rsid w:val="0034799D"/>
    <w:rsid w:val="00351D8A"/>
    <w:rsid w:val="0035495F"/>
    <w:rsid w:val="00357331"/>
    <w:rsid w:val="00362593"/>
    <w:rsid w:val="003644A2"/>
    <w:rsid w:val="00372367"/>
    <w:rsid w:val="003757F3"/>
    <w:rsid w:val="00375967"/>
    <w:rsid w:val="00381CDA"/>
    <w:rsid w:val="00384009"/>
    <w:rsid w:val="00384849"/>
    <w:rsid w:val="0038570B"/>
    <w:rsid w:val="00393BC0"/>
    <w:rsid w:val="00393D46"/>
    <w:rsid w:val="003A2184"/>
    <w:rsid w:val="003A43CD"/>
    <w:rsid w:val="003B108D"/>
    <w:rsid w:val="003B1327"/>
    <w:rsid w:val="003B154C"/>
    <w:rsid w:val="003B3051"/>
    <w:rsid w:val="003B5CE9"/>
    <w:rsid w:val="003C09EA"/>
    <w:rsid w:val="003C5D6F"/>
    <w:rsid w:val="003D491F"/>
    <w:rsid w:val="003D4E38"/>
    <w:rsid w:val="003D79BF"/>
    <w:rsid w:val="003E3F7C"/>
    <w:rsid w:val="003E5559"/>
    <w:rsid w:val="003E62DF"/>
    <w:rsid w:val="003F3A33"/>
    <w:rsid w:val="003F3F8C"/>
    <w:rsid w:val="003F6629"/>
    <w:rsid w:val="003F6DF3"/>
    <w:rsid w:val="003F7219"/>
    <w:rsid w:val="003F7A44"/>
    <w:rsid w:val="004010ED"/>
    <w:rsid w:val="00406623"/>
    <w:rsid w:val="00407996"/>
    <w:rsid w:val="00414B58"/>
    <w:rsid w:val="004209DE"/>
    <w:rsid w:val="004232D6"/>
    <w:rsid w:val="004339A2"/>
    <w:rsid w:val="004342F4"/>
    <w:rsid w:val="0043548C"/>
    <w:rsid w:val="00436B83"/>
    <w:rsid w:val="00437FE9"/>
    <w:rsid w:val="00440B58"/>
    <w:rsid w:val="004434D9"/>
    <w:rsid w:val="00445780"/>
    <w:rsid w:val="00461506"/>
    <w:rsid w:val="00462366"/>
    <w:rsid w:val="00471C4E"/>
    <w:rsid w:val="00476963"/>
    <w:rsid w:val="00476A06"/>
    <w:rsid w:val="00480E57"/>
    <w:rsid w:val="0048135B"/>
    <w:rsid w:val="004820A4"/>
    <w:rsid w:val="004900DC"/>
    <w:rsid w:val="00491B6F"/>
    <w:rsid w:val="004975BE"/>
    <w:rsid w:val="004A0973"/>
    <w:rsid w:val="004A4A60"/>
    <w:rsid w:val="004A5B52"/>
    <w:rsid w:val="004A75E6"/>
    <w:rsid w:val="004A7AF0"/>
    <w:rsid w:val="004B155A"/>
    <w:rsid w:val="004B21F3"/>
    <w:rsid w:val="004B5FE9"/>
    <w:rsid w:val="004B7C9D"/>
    <w:rsid w:val="004C2F9B"/>
    <w:rsid w:val="004C34A4"/>
    <w:rsid w:val="004D072C"/>
    <w:rsid w:val="004D2305"/>
    <w:rsid w:val="004D251D"/>
    <w:rsid w:val="004D3C50"/>
    <w:rsid w:val="004D4008"/>
    <w:rsid w:val="004E21BB"/>
    <w:rsid w:val="004E4F0C"/>
    <w:rsid w:val="004E4FA0"/>
    <w:rsid w:val="004E58C3"/>
    <w:rsid w:val="004E6CB2"/>
    <w:rsid w:val="004E75EB"/>
    <w:rsid w:val="004F3A1D"/>
    <w:rsid w:val="004F5A36"/>
    <w:rsid w:val="00501C33"/>
    <w:rsid w:val="00502264"/>
    <w:rsid w:val="0051545F"/>
    <w:rsid w:val="0051710D"/>
    <w:rsid w:val="00520679"/>
    <w:rsid w:val="00520EF2"/>
    <w:rsid w:val="00522CFD"/>
    <w:rsid w:val="00524781"/>
    <w:rsid w:val="0052480E"/>
    <w:rsid w:val="00525685"/>
    <w:rsid w:val="00530185"/>
    <w:rsid w:val="00535484"/>
    <w:rsid w:val="00535663"/>
    <w:rsid w:val="00543AB4"/>
    <w:rsid w:val="00543DF1"/>
    <w:rsid w:val="00546F70"/>
    <w:rsid w:val="0055176A"/>
    <w:rsid w:val="0055364B"/>
    <w:rsid w:val="00562024"/>
    <w:rsid w:val="00563F1A"/>
    <w:rsid w:val="005652D6"/>
    <w:rsid w:val="00572472"/>
    <w:rsid w:val="005764FB"/>
    <w:rsid w:val="005829FF"/>
    <w:rsid w:val="00584325"/>
    <w:rsid w:val="005911AE"/>
    <w:rsid w:val="00591715"/>
    <w:rsid w:val="00593830"/>
    <w:rsid w:val="00597701"/>
    <w:rsid w:val="005A33B0"/>
    <w:rsid w:val="005A42D6"/>
    <w:rsid w:val="005B397C"/>
    <w:rsid w:val="005B6E8C"/>
    <w:rsid w:val="005C26D4"/>
    <w:rsid w:val="005C4277"/>
    <w:rsid w:val="005C4E79"/>
    <w:rsid w:val="005C60DD"/>
    <w:rsid w:val="005C631B"/>
    <w:rsid w:val="005E1FDA"/>
    <w:rsid w:val="005E3136"/>
    <w:rsid w:val="005E317B"/>
    <w:rsid w:val="005E468D"/>
    <w:rsid w:val="005E7F29"/>
    <w:rsid w:val="005E7FC0"/>
    <w:rsid w:val="005F1EF6"/>
    <w:rsid w:val="005F27E5"/>
    <w:rsid w:val="005F5662"/>
    <w:rsid w:val="00613C79"/>
    <w:rsid w:val="00615263"/>
    <w:rsid w:val="00615768"/>
    <w:rsid w:val="0061645E"/>
    <w:rsid w:val="00620241"/>
    <w:rsid w:val="00620C69"/>
    <w:rsid w:val="0062176F"/>
    <w:rsid w:val="00625D24"/>
    <w:rsid w:val="006265F4"/>
    <w:rsid w:val="00627063"/>
    <w:rsid w:val="00634ABD"/>
    <w:rsid w:val="00634BD2"/>
    <w:rsid w:val="00646BBD"/>
    <w:rsid w:val="0065257D"/>
    <w:rsid w:val="00653EC9"/>
    <w:rsid w:val="006641F3"/>
    <w:rsid w:val="00666EFF"/>
    <w:rsid w:val="00672B21"/>
    <w:rsid w:val="00673F6B"/>
    <w:rsid w:val="00675F27"/>
    <w:rsid w:val="00686184"/>
    <w:rsid w:val="00687122"/>
    <w:rsid w:val="0069126E"/>
    <w:rsid w:val="006A5C3A"/>
    <w:rsid w:val="006A5CA6"/>
    <w:rsid w:val="006A7633"/>
    <w:rsid w:val="006B22E5"/>
    <w:rsid w:val="006B2507"/>
    <w:rsid w:val="006B4CC3"/>
    <w:rsid w:val="006C0FAA"/>
    <w:rsid w:val="006C6840"/>
    <w:rsid w:val="006C763B"/>
    <w:rsid w:val="006C7DD2"/>
    <w:rsid w:val="006D0498"/>
    <w:rsid w:val="006E5B8B"/>
    <w:rsid w:val="006E657E"/>
    <w:rsid w:val="006E7DD8"/>
    <w:rsid w:val="006F18CD"/>
    <w:rsid w:val="006F1CF0"/>
    <w:rsid w:val="006F23F0"/>
    <w:rsid w:val="006F3069"/>
    <w:rsid w:val="006F354C"/>
    <w:rsid w:val="006F3890"/>
    <w:rsid w:val="006F4AA9"/>
    <w:rsid w:val="006F5B83"/>
    <w:rsid w:val="006F78B7"/>
    <w:rsid w:val="00702A4C"/>
    <w:rsid w:val="00705851"/>
    <w:rsid w:val="00707163"/>
    <w:rsid w:val="007072C3"/>
    <w:rsid w:val="00707A6B"/>
    <w:rsid w:val="00711853"/>
    <w:rsid w:val="00711855"/>
    <w:rsid w:val="00723FFC"/>
    <w:rsid w:val="0073021D"/>
    <w:rsid w:val="00732B0C"/>
    <w:rsid w:val="0073695B"/>
    <w:rsid w:val="00740015"/>
    <w:rsid w:val="00740657"/>
    <w:rsid w:val="0074523C"/>
    <w:rsid w:val="00746A52"/>
    <w:rsid w:val="007528F3"/>
    <w:rsid w:val="00753BE7"/>
    <w:rsid w:val="0075583F"/>
    <w:rsid w:val="0076021F"/>
    <w:rsid w:val="007627DB"/>
    <w:rsid w:val="00762A70"/>
    <w:rsid w:val="00762AFA"/>
    <w:rsid w:val="00764512"/>
    <w:rsid w:val="00764DBB"/>
    <w:rsid w:val="0076620E"/>
    <w:rsid w:val="0076629A"/>
    <w:rsid w:val="007736CE"/>
    <w:rsid w:val="007771F9"/>
    <w:rsid w:val="00784AA6"/>
    <w:rsid w:val="00786B2D"/>
    <w:rsid w:val="0078775C"/>
    <w:rsid w:val="007930C4"/>
    <w:rsid w:val="00794406"/>
    <w:rsid w:val="007973F5"/>
    <w:rsid w:val="007A01CB"/>
    <w:rsid w:val="007A1E60"/>
    <w:rsid w:val="007A206D"/>
    <w:rsid w:val="007A3FA0"/>
    <w:rsid w:val="007A4E25"/>
    <w:rsid w:val="007B01E1"/>
    <w:rsid w:val="007B450B"/>
    <w:rsid w:val="007B6555"/>
    <w:rsid w:val="007B776A"/>
    <w:rsid w:val="007C01D0"/>
    <w:rsid w:val="007C111C"/>
    <w:rsid w:val="007C7770"/>
    <w:rsid w:val="007D090E"/>
    <w:rsid w:val="007D3765"/>
    <w:rsid w:val="007D4324"/>
    <w:rsid w:val="007E26AA"/>
    <w:rsid w:val="007E60F5"/>
    <w:rsid w:val="007F575F"/>
    <w:rsid w:val="007F6D0D"/>
    <w:rsid w:val="007F72E2"/>
    <w:rsid w:val="00804553"/>
    <w:rsid w:val="008110C1"/>
    <w:rsid w:val="00811943"/>
    <w:rsid w:val="00812D69"/>
    <w:rsid w:val="008132DC"/>
    <w:rsid w:val="00813B32"/>
    <w:rsid w:val="008141E7"/>
    <w:rsid w:val="00814E28"/>
    <w:rsid w:val="0081537A"/>
    <w:rsid w:val="00815E9A"/>
    <w:rsid w:val="008164CD"/>
    <w:rsid w:val="008179AA"/>
    <w:rsid w:val="00817A66"/>
    <w:rsid w:val="0082018E"/>
    <w:rsid w:val="00821CE0"/>
    <w:rsid w:val="0083018A"/>
    <w:rsid w:val="0083032A"/>
    <w:rsid w:val="00830B1F"/>
    <w:rsid w:val="00835B9F"/>
    <w:rsid w:val="00850CE6"/>
    <w:rsid w:val="00853D6C"/>
    <w:rsid w:val="0086028B"/>
    <w:rsid w:val="0086158B"/>
    <w:rsid w:val="00863DDA"/>
    <w:rsid w:val="00864F5C"/>
    <w:rsid w:val="00865B51"/>
    <w:rsid w:val="00866289"/>
    <w:rsid w:val="008739AF"/>
    <w:rsid w:val="00874427"/>
    <w:rsid w:val="00876991"/>
    <w:rsid w:val="008778D3"/>
    <w:rsid w:val="0088303F"/>
    <w:rsid w:val="00890464"/>
    <w:rsid w:val="00892325"/>
    <w:rsid w:val="008931C4"/>
    <w:rsid w:val="00893FF1"/>
    <w:rsid w:val="0089460D"/>
    <w:rsid w:val="008A34E6"/>
    <w:rsid w:val="008A5A7B"/>
    <w:rsid w:val="008B1574"/>
    <w:rsid w:val="008B1714"/>
    <w:rsid w:val="008B267A"/>
    <w:rsid w:val="008B3626"/>
    <w:rsid w:val="008B3CF3"/>
    <w:rsid w:val="008B46ED"/>
    <w:rsid w:val="008B4E5D"/>
    <w:rsid w:val="008C045E"/>
    <w:rsid w:val="008C155A"/>
    <w:rsid w:val="008C232A"/>
    <w:rsid w:val="008C36D2"/>
    <w:rsid w:val="008C4F09"/>
    <w:rsid w:val="008D45E3"/>
    <w:rsid w:val="008D5C19"/>
    <w:rsid w:val="008D60FE"/>
    <w:rsid w:val="008D62D6"/>
    <w:rsid w:val="008D7FD4"/>
    <w:rsid w:val="008E0161"/>
    <w:rsid w:val="008E0D9F"/>
    <w:rsid w:val="008E3EBB"/>
    <w:rsid w:val="008E52E1"/>
    <w:rsid w:val="0090561E"/>
    <w:rsid w:val="009112BD"/>
    <w:rsid w:val="00912A3E"/>
    <w:rsid w:val="009201C0"/>
    <w:rsid w:val="00920427"/>
    <w:rsid w:val="00920571"/>
    <w:rsid w:val="00923537"/>
    <w:rsid w:val="00925053"/>
    <w:rsid w:val="009269F5"/>
    <w:rsid w:val="00926F94"/>
    <w:rsid w:val="00927B67"/>
    <w:rsid w:val="0093062E"/>
    <w:rsid w:val="00932DD2"/>
    <w:rsid w:val="0094203D"/>
    <w:rsid w:val="009504BC"/>
    <w:rsid w:val="00951851"/>
    <w:rsid w:val="009532B0"/>
    <w:rsid w:val="009540A3"/>
    <w:rsid w:val="00954146"/>
    <w:rsid w:val="00957CFA"/>
    <w:rsid w:val="00976D26"/>
    <w:rsid w:val="00982BD7"/>
    <w:rsid w:val="00984C92"/>
    <w:rsid w:val="00984F8B"/>
    <w:rsid w:val="00986652"/>
    <w:rsid w:val="00990E99"/>
    <w:rsid w:val="00991E4E"/>
    <w:rsid w:val="00993F71"/>
    <w:rsid w:val="00995300"/>
    <w:rsid w:val="00995E2B"/>
    <w:rsid w:val="00997013"/>
    <w:rsid w:val="009A40B0"/>
    <w:rsid w:val="009A73F6"/>
    <w:rsid w:val="009B1964"/>
    <w:rsid w:val="009B2B64"/>
    <w:rsid w:val="009B50BE"/>
    <w:rsid w:val="009B5BEB"/>
    <w:rsid w:val="009C50A7"/>
    <w:rsid w:val="009C594A"/>
    <w:rsid w:val="009D2A37"/>
    <w:rsid w:val="009F3B05"/>
    <w:rsid w:val="009F5769"/>
    <w:rsid w:val="009F7C18"/>
    <w:rsid w:val="00A01EC6"/>
    <w:rsid w:val="00A028E7"/>
    <w:rsid w:val="00A02C60"/>
    <w:rsid w:val="00A075E5"/>
    <w:rsid w:val="00A17A5A"/>
    <w:rsid w:val="00A17B1E"/>
    <w:rsid w:val="00A2124B"/>
    <w:rsid w:val="00A26704"/>
    <w:rsid w:val="00A34AD2"/>
    <w:rsid w:val="00A34DE3"/>
    <w:rsid w:val="00A406DD"/>
    <w:rsid w:val="00A40B4E"/>
    <w:rsid w:val="00A423BD"/>
    <w:rsid w:val="00A424B2"/>
    <w:rsid w:val="00A50FB4"/>
    <w:rsid w:val="00A51985"/>
    <w:rsid w:val="00A52C9B"/>
    <w:rsid w:val="00A55F35"/>
    <w:rsid w:val="00A60EE8"/>
    <w:rsid w:val="00A6336D"/>
    <w:rsid w:val="00A6465B"/>
    <w:rsid w:val="00A71093"/>
    <w:rsid w:val="00A716B6"/>
    <w:rsid w:val="00A77850"/>
    <w:rsid w:val="00A8287F"/>
    <w:rsid w:val="00A97D5C"/>
    <w:rsid w:val="00AA06B9"/>
    <w:rsid w:val="00AA1EC7"/>
    <w:rsid w:val="00AB45EA"/>
    <w:rsid w:val="00AB65F5"/>
    <w:rsid w:val="00AB703B"/>
    <w:rsid w:val="00AC14F9"/>
    <w:rsid w:val="00AC1750"/>
    <w:rsid w:val="00AC2C9F"/>
    <w:rsid w:val="00AC3C88"/>
    <w:rsid w:val="00AC5B44"/>
    <w:rsid w:val="00AD0440"/>
    <w:rsid w:val="00AD4B2A"/>
    <w:rsid w:val="00AE4C7B"/>
    <w:rsid w:val="00AE7C15"/>
    <w:rsid w:val="00AF0693"/>
    <w:rsid w:val="00AF133D"/>
    <w:rsid w:val="00AF3424"/>
    <w:rsid w:val="00AF4D74"/>
    <w:rsid w:val="00AF64D3"/>
    <w:rsid w:val="00B043FB"/>
    <w:rsid w:val="00B12AC8"/>
    <w:rsid w:val="00B13848"/>
    <w:rsid w:val="00B145DD"/>
    <w:rsid w:val="00B14632"/>
    <w:rsid w:val="00B205EE"/>
    <w:rsid w:val="00B267DC"/>
    <w:rsid w:val="00B3079B"/>
    <w:rsid w:val="00B311EA"/>
    <w:rsid w:val="00B43E8F"/>
    <w:rsid w:val="00B4463A"/>
    <w:rsid w:val="00B46F21"/>
    <w:rsid w:val="00B60887"/>
    <w:rsid w:val="00B615AD"/>
    <w:rsid w:val="00B62051"/>
    <w:rsid w:val="00B62ECD"/>
    <w:rsid w:val="00B638F9"/>
    <w:rsid w:val="00B6406F"/>
    <w:rsid w:val="00B7337E"/>
    <w:rsid w:val="00B82660"/>
    <w:rsid w:val="00B86693"/>
    <w:rsid w:val="00B8773E"/>
    <w:rsid w:val="00B916D0"/>
    <w:rsid w:val="00B95265"/>
    <w:rsid w:val="00B97B99"/>
    <w:rsid w:val="00BA192D"/>
    <w:rsid w:val="00BA58E1"/>
    <w:rsid w:val="00BB6044"/>
    <w:rsid w:val="00BB7A99"/>
    <w:rsid w:val="00BB7FB5"/>
    <w:rsid w:val="00BC0127"/>
    <w:rsid w:val="00BC100E"/>
    <w:rsid w:val="00BC276B"/>
    <w:rsid w:val="00BC526A"/>
    <w:rsid w:val="00BC5D61"/>
    <w:rsid w:val="00BC6422"/>
    <w:rsid w:val="00BD0C39"/>
    <w:rsid w:val="00BD3B4C"/>
    <w:rsid w:val="00BD408E"/>
    <w:rsid w:val="00BD4A5B"/>
    <w:rsid w:val="00BD60CB"/>
    <w:rsid w:val="00BD6DC8"/>
    <w:rsid w:val="00BE5400"/>
    <w:rsid w:val="00BE7A1D"/>
    <w:rsid w:val="00BF343C"/>
    <w:rsid w:val="00C026D3"/>
    <w:rsid w:val="00C04109"/>
    <w:rsid w:val="00C04E01"/>
    <w:rsid w:val="00C06A26"/>
    <w:rsid w:val="00C12745"/>
    <w:rsid w:val="00C1278E"/>
    <w:rsid w:val="00C156EF"/>
    <w:rsid w:val="00C21214"/>
    <w:rsid w:val="00C219B6"/>
    <w:rsid w:val="00C21C36"/>
    <w:rsid w:val="00C24074"/>
    <w:rsid w:val="00C31A29"/>
    <w:rsid w:val="00C32B07"/>
    <w:rsid w:val="00C44B03"/>
    <w:rsid w:val="00C46FCB"/>
    <w:rsid w:val="00C61091"/>
    <w:rsid w:val="00C61180"/>
    <w:rsid w:val="00C63BD6"/>
    <w:rsid w:val="00C700E3"/>
    <w:rsid w:val="00C740FB"/>
    <w:rsid w:val="00C7516E"/>
    <w:rsid w:val="00CA22D9"/>
    <w:rsid w:val="00CA2A60"/>
    <w:rsid w:val="00CA5543"/>
    <w:rsid w:val="00CB23B7"/>
    <w:rsid w:val="00CB39B1"/>
    <w:rsid w:val="00CB41FE"/>
    <w:rsid w:val="00CB4834"/>
    <w:rsid w:val="00CB54EF"/>
    <w:rsid w:val="00CB6FC2"/>
    <w:rsid w:val="00CB7378"/>
    <w:rsid w:val="00CC1816"/>
    <w:rsid w:val="00CC2633"/>
    <w:rsid w:val="00CC29A0"/>
    <w:rsid w:val="00CC3880"/>
    <w:rsid w:val="00CC414F"/>
    <w:rsid w:val="00CC4B42"/>
    <w:rsid w:val="00CD131B"/>
    <w:rsid w:val="00CD47D0"/>
    <w:rsid w:val="00CD486B"/>
    <w:rsid w:val="00CD5D04"/>
    <w:rsid w:val="00CE6AA8"/>
    <w:rsid w:val="00CE7AC9"/>
    <w:rsid w:val="00D0204F"/>
    <w:rsid w:val="00D05758"/>
    <w:rsid w:val="00D074EE"/>
    <w:rsid w:val="00D11799"/>
    <w:rsid w:val="00D12911"/>
    <w:rsid w:val="00D12DFC"/>
    <w:rsid w:val="00D163A6"/>
    <w:rsid w:val="00D170F5"/>
    <w:rsid w:val="00D21F8B"/>
    <w:rsid w:val="00D22E9A"/>
    <w:rsid w:val="00D27F1E"/>
    <w:rsid w:val="00D314B6"/>
    <w:rsid w:val="00D31B52"/>
    <w:rsid w:val="00D52108"/>
    <w:rsid w:val="00D541C1"/>
    <w:rsid w:val="00D56088"/>
    <w:rsid w:val="00D62828"/>
    <w:rsid w:val="00D64524"/>
    <w:rsid w:val="00D652BC"/>
    <w:rsid w:val="00D67AC4"/>
    <w:rsid w:val="00D700D7"/>
    <w:rsid w:val="00D73308"/>
    <w:rsid w:val="00D8053D"/>
    <w:rsid w:val="00D879E4"/>
    <w:rsid w:val="00D91001"/>
    <w:rsid w:val="00D91342"/>
    <w:rsid w:val="00D91887"/>
    <w:rsid w:val="00DA6BF8"/>
    <w:rsid w:val="00DB2AFC"/>
    <w:rsid w:val="00DB2D27"/>
    <w:rsid w:val="00DB4B93"/>
    <w:rsid w:val="00DC17C4"/>
    <w:rsid w:val="00DC18E7"/>
    <w:rsid w:val="00DC633B"/>
    <w:rsid w:val="00DC7A37"/>
    <w:rsid w:val="00DC7BB2"/>
    <w:rsid w:val="00DD0EEA"/>
    <w:rsid w:val="00DD19A6"/>
    <w:rsid w:val="00DD235F"/>
    <w:rsid w:val="00DD43DF"/>
    <w:rsid w:val="00DD53F5"/>
    <w:rsid w:val="00DD541C"/>
    <w:rsid w:val="00DD6305"/>
    <w:rsid w:val="00DE11D4"/>
    <w:rsid w:val="00DE1610"/>
    <w:rsid w:val="00DE658F"/>
    <w:rsid w:val="00DF2056"/>
    <w:rsid w:val="00DF428B"/>
    <w:rsid w:val="00DF462C"/>
    <w:rsid w:val="00DF5331"/>
    <w:rsid w:val="00DF764F"/>
    <w:rsid w:val="00E0015F"/>
    <w:rsid w:val="00E030CC"/>
    <w:rsid w:val="00E03126"/>
    <w:rsid w:val="00E045B5"/>
    <w:rsid w:val="00E1121B"/>
    <w:rsid w:val="00E1608C"/>
    <w:rsid w:val="00E170E0"/>
    <w:rsid w:val="00E1783E"/>
    <w:rsid w:val="00E17EAF"/>
    <w:rsid w:val="00E230EA"/>
    <w:rsid w:val="00E300CA"/>
    <w:rsid w:val="00E314FF"/>
    <w:rsid w:val="00E32C75"/>
    <w:rsid w:val="00E3386E"/>
    <w:rsid w:val="00E35C7A"/>
    <w:rsid w:val="00E36270"/>
    <w:rsid w:val="00E3665A"/>
    <w:rsid w:val="00E40631"/>
    <w:rsid w:val="00E43C25"/>
    <w:rsid w:val="00E46322"/>
    <w:rsid w:val="00E474B7"/>
    <w:rsid w:val="00E51072"/>
    <w:rsid w:val="00E517F8"/>
    <w:rsid w:val="00E549F9"/>
    <w:rsid w:val="00E56276"/>
    <w:rsid w:val="00E57887"/>
    <w:rsid w:val="00E628F0"/>
    <w:rsid w:val="00E66AB8"/>
    <w:rsid w:val="00E714CD"/>
    <w:rsid w:val="00E80151"/>
    <w:rsid w:val="00E866A5"/>
    <w:rsid w:val="00E91BE1"/>
    <w:rsid w:val="00E9217B"/>
    <w:rsid w:val="00E950E8"/>
    <w:rsid w:val="00E9678E"/>
    <w:rsid w:val="00EA1A43"/>
    <w:rsid w:val="00EA1EB7"/>
    <w:rsid w:val="00EA246C"/>
    <w:rsid w:val="00EA3F31"/>
    <w:rsid w:val="00EA5FD7"/>
    <w:rsid w:val="00EA7E53"/>
    <w:rsid w:val="00EA7F36"/>
    <w:rsid w:val="00EB23F4"/>
    <w:rsid w:val="00EC3587"/>
    <w:rsid w:val="00EC4225"/>
    <w:rsid w:val="00EC60A5"/>
    <w:rsid w:val="00EC6AC6"/>
    <w:rsid w:val="00ED068B"/>
    <w:rsid w:val="00EE3CAC"/>
    <w:rsid w:val="00EF1C63"/>
    <w:rsid w:val="00EF33BC"/>
    <w:rsid w:val="00EF380D"/>
    <w:rsid w:val="00EF4190"/>
    <w:rsid w:val="00EF4282"/>
    <w:rsid w:val="00EF5D17"/>
    <w:rsid w:val="00EF5F96"/>
    <w:rsid w:val="00EF75B6"/>
    <w:rsid w:val="00EF7B00"/>
    <w:rsid w:val="00F01433"/>
    <w:rsid w:val="00F026A7"/>
    <w:rsid w:val="00F02B35"/>
    <w:rsid w:val="00F11DC4"/>
    <w:rsid w:val="00F15127"/>
    <w:rsid w:val="00F15944"/>
    <w:rsid w:val="00F21403"/>
    <w:rsid w:val="00F230B9"/>
    <w:rsid w:val="00F2400C"/>
    <w:rsid w:val="00F31302"/>
    <w:rsid w:val="00F33D13"/>
    <w:rsid w:val="00F35850"/>
    <w:rsid w:val="00F35C8B"/>
    <w:rsid w:val="00F40A73"/>
    <w:rsid w:val="00F42794"/>
    <w:rsid w:val="00F43DC7"/>
    <w:rsid w:val="00F45A82"/>
    <w:rsid w:val="00F513D1"/>
    <w:rsid w:val="00F5336E"/>
    <w:rsid w:val="00F57F1E"/>
    <w:rsid w:val="00F64025"/>
    <w:rsid w:val="00F67F1C"/>
    <w:rsid w:val="00F742CF"/>
    <w:rsid w:val="00F75BC2"/>
    <w:rsid w:val="00F75C8F"/>
    <w:rsid w:val="00F7642C"/>
    <w:rsid w:val="00F86E45"/>
    <w:rsid w:val="00F958A7"/>
    <w:rsid w:val="00FA1B01"/>
    <w:rsid w:val="00FA6C2A"/>
    <w:rsid w:val="00FA71E4"/>
    <w:rsid w:val="00FB0718"/>
    <w:rsid w:val="00FB0D42"/>
    <w:rsid w:val="00FB2E81"/>
    <w:rsid w:val="00FB4ADA"/>
    <w:rsid w:val="00FB5057"/>
    <w:rsid w:val="00FB5E22"/>
    <w:rsid w:val="00FC06B0"/>
    <w:rsid w:val="00FD4D7A"/>
    <w:rsid w:val="00FD6C93"/>
    <w:rsid w:val="00FD6CA5"/>
    <w:rsid w:val="00FE4A11"/>
    <w:rsid w:val="00FE6197"/>
    <w:rsid w:val="00FE6B01"/>
    <w:rsid w:val="00FE7295"/>
    <w:rsid w:val="00FF0EE6"/>
    <w:rsid w:val="01226E08"/>
    <w:rsid w:val="034E2991"/>
    <w:rsid w:val="03F74D74"/>
    <w:rsid w:val="03FA59EA"/>
    <w:rsid w:val="03FC74D5"/>
    <w:rsid w:val="050C546F"/>
    <w:rsid w:val="062C1C34"/>
    <w:rsid w:val="0647233D"/>
    <w:rsid w:val="064B7E13"/>
    <w:rsid w:val="06861529"/>
    <w:rsid w:val="06F03F08"/>
    <w:rsid w:val="071467B9"/>
    <w:rsid w:val="07865D32"/>
    <w:rsid w:val="07A17E29"/>
    <w:rsid w:val="08A45828"/>
    <w:rsid w:val="08C94B36"/>
    <w:rsid w:val="099334CB"/>
    <w:rsid w:val="0A1072B4"/>
    <w:rsid w:val="0A694666"/>
    <w:rsid w:val="0A890283"/>
    <w:rsid w:val="0B205DBA"/>
    <w:rsid w:val="0B341627"/>
    <w:rsid w:val="0C6B3440"/>
    <w:rsid w:val="0E00277B"/>
    <w:rsid w:val="0EED5AF7"/>
    <w:rsid w:val="0EF26062"/>
    <w:rsid w:val="0F1F2C56"/>
    <w:rsid w:val="10C26A2E"/>
    <w:rsid w:val="11A05DB0"/>
    <w:rsid w:val="123A3203"/>
    <w:rsid w:val="127E0382"/>
    <w:rsid w:val="12C500ED"/>
    <w:rsid w:val="12E33B2D"/>
    <w:rsid w:val="13211BAC"/>
    <w:rsid w:val="136211BC"/>
    <w:rsid w:val="141B47AC"/>
    <w:rsid w:val="14F9362D"/>
    <w:rsid w:val="15CC4DCF"/>
    <w:rsid w:val="16B0372F"/>
    <w:rsid w:val="16F72FBF"/>
    <w:rsid w:val="17282788"/>
    <w:rsid w:val="17604473"/>
    <w:rsid w:val="17987F02"/>
    <w:rsid w:val="17C93170"/>
    <w:rsid w:val="19727A01"/>
    <w:rsid w:val="19C463FA"/>
    <w:rsid w:val="1BE905C4"/>
    <w:rsid w:val="1C715550"/>
    <w:rsid w:val="1CAF60ED"/>
    <w:rsid w:val="1CD922E1"/>
    <w:rsid w:val="1D4E1D95"/>
    <w:rsid w:val="1D552F82"/>
    <w:rsid w:val="1D5A0634"/>
    <w:rsid w:val="1D892229"/>
    <w:rsid w:val="1E4678D4"/>
    <w:rsid w:val="1F81596D"/>
    <w:rsid w:val="1FB7423E"/>
    <w:rsid w:val="201A4834"/>
    <w:rsid w:val="20683311"/>
    <w:rsid w:val="211742CA"/>
    <w:rsid w:val="21C94A0B"/>
    <w:rsid w:val="21F16E51"/>
    <w:rsid w:val="22E74235"/>
    <w:rsid w:val="2316215E"/>
    <w:rsid w:val="23A0665D"/>
    <w:rsid w:val="241558D0"/>
    <w:rsid w:val="24B6288B"/>
    <w:rsid w:val="265C3047"/>
    <w:rsid w:val="26FD0D68"/>
    <w:rsid w:val="275710E7"/>
    <w:rsid w:val="28315CD3"/>
    <w:rsid w:val="286A65AC"/>
    <w:rsid w:val="294A1E17"/>
    <w:rsid w:val="2A171731"/>
    <w:rsid w:val="2A2F1410"/>
    <w:rsid w:val="2A4012A6"/>
    <w:rsid w:val="2A8B372B"/>
    <w:rsid w:val="2B9150B0"/>
    <w:rsid w:val="2D5F46E1"/>
    <w:rsid w:val="2D78274E"/>
    <w:rsid w:val="2DAE1752"/>
    <w:rsid w:val="2EF4467B"/>
    <w:rsid w:val="2F1618E3"/>
    <w:rsid w:val="305B5187"/>
    <w:rsid w:val="3137113C"/>
    <w:rsid w:val="326B1E66"/>
    <w:rsid w:val="32A44AFA"/>
    <w:rsid w:val="33BA1031"/>
    <w:rsid w:val="33E618C6"/>
    <w:rsid w:val="34636271"/>
    <w:rsid w:val="34720E05"/>
    <w:rsid w:val="34DD04F6"/>
    <w:rsid w:val="35187E39"/>
    <w:rsid w:val="35EA3D29"/>
    <w:rsid w:val="36EA3E24"/>
    <w:rsid w:val="38EE7919"/>
    <w:rsid w:val="392A4201"/>
    <w:rsid w:val="3A777F39"/>
    <w:rsid w:val="3AAA2DF7"/>
    <w:rsid w:val="3AC06E5D"/>
    <w:rsid w:val="3B656D9C"/>
    <w:rsid w:val="3BA819AA"/>
    <w:rsid w:val="3C2C3AE6"/>
    <w:rsid w:val="3DD03AEC"/>
    <w:rsid w:val="3E2E458E"/>
    <w:rsid w:val="3E5551B4"/>
    <w:rsid w:val="3EF35C32"/>
    <w:rsid w:val="40B10C67"/>
    <w:rsid w:val="40D656C6"/>
    <w:rsid w:val="416D36FB"/>
    <w:rsid w:val="419D7EA9"/>
    <w:rsid w:val="43CA36B0"/>
    <w:rsid w:val="43F8039B"/>
    <w:rsid w:val="445A0B5E"/>
    <w:rsid w:val="4555616F"/>
    <w:rsid w:val="46DB24DB"/>
    <w:rsid w:val="470332E2"/>
    <w:rsid w:val="476F55F2"/>
    <w:rsid w:val="47752BC6"/>
    <w:rsid w:val="47C76632"/>
    <w:rsid w:val="48337528"/>
    <w:rsid w:val="48576E43"/>
    <w:rsid w:val="48861F48"/>
    <w:rsid w:val="488D0016"/>
    <w:rsid w:val="48B41E39"/>
    <w:rsid w:val="49294DBC"/>
    <w:rsid w:val="498C07DA"/>
    <w:rsid w:val="49B80573"/>
    <w:rsid w:val="4A5E75F7"/>
    <w:rsid w:val="4A936BA1"/>
    <w:rsid w:val="4B3A39E3"/>
    <w:rsid w:val="4B945451"/>
    <w:rsid w:val="4BA94D5E"/>
    <w:rsid w:val="4C1710F2"/>
    <w:rsid w:val="4C5A10A0"/>
    <w:rsid w:val="4CD44B60"/>
    <w:rsid w:val="4D7A553E"/>
    <w:rsid w:val="4E057800"/>
    <w:rsid w:val="4E10455E"/>
    <w:rsid w:val="4E4E5250"/>
    <w:rsid w:val="4E737847"/>
    <w:rsid w:val="4F125FE1"/>
    <w:rsid w:val="4F3E3A01"/>
    <w:rsid w:val="4F4E0B06"/>
    <w:rsid w:val="4F7E1816"/>
    <w:rsid w:val="4FF82F87"/>
    <w:rsid w:val="50B75896"/>
    <w:rsid w:val="510D56F5"/>
    <w:rsid w:val="511E071E"/>
    <w:rsid w:val="51274864"/>
    <w:rsid w:val="5132684F"/>
    <w:rsid w:val="518D5D62"/>
    <w:rsid w:val="51FE26B6"/>
    <w:rsid w:val="539E4A7F"/>
    <w:rsid w:val="53E90FDD"/>
    <w:rsid w:val="54521C6A"/>
    <w:rsid w:val="5456238A"/>
    <w:rsid w:val="54EC6A39"/>
    <w:rsid w:val="551058DE"/>
    <w:rsid w:val="56252E59"/>
    <w:rsid w:val="563916C1"/>
    <w:rsid w:val="56EE57E8"/>
    <w:rsid w:val="571A306D"/>
    <w:rsid w:val="574C7AA1"/>
    <w:rsid w:val="58382635"/>
    <w:rsid w:val="58DE6903"/>
    <w:rsid w:val="5A2C2C0E"/>
    <w:rsid w:val="5B4C61E1"/>
    <w:rsid w:val="5B990593"/>
    <w:rsid w:val="5E1003BB"/>
    <w:rsid w:val="5E387720"/>
    <w:rsid w:val="5F306534"/>
    <w:rsid w:val="5F334E00"/>
    <w:rsid w:val="5FD805CA"/>
    <w:rsid w:val="601E38FE"/>
    <w:rsid w:val="60A75DC9"/>
    <w:rsid w:val="611D2966"/>
    <w:rsid w:val="61A93C6A"/>
    <w:rsid w:val="62B4466C"/>
    <w:rsid w:val="63C15767"/>
    <w:rsid w:val="647F4941"/>
    <w:rsid w:val="649C4B51"/>
    <w:rsid w:val="65416E15"/>
    <w:rsid w:val="6692591C"/>
    <w:rsid w:val="67461C90"/>
    <w:rsid w:val="68233EA7"/>
    <w:rsid w:val="683C2A89"/>
    <w:rsid w:val="688A3FBB"/>
    <w:rsid w:val="68A060A7"/>
    <w:rsid w:val="68F87F5D"/>
    <w:rsid w:val="69030A4F"/>
    <w:rsid w:val="69601B6C"/>
    <w:rsid w:val="69B00935"/>
    <w:rsid w:val="69C83061"/>
    <w:rsid w:val="69FF1D91"/>
    <w:rsid w:val="6A29120E"/>
    <w:rsid w:val="6A406759"/>
    <w:rsid w:val="6ABC2657"/>
    <w:rsid w:val="6BFE3825"/>
    <w:rsid w:val="6C6D722C"/>
    <w:rsid w:val="6C7371BC"/>
    <w:rsid w:val="6D082EFB"/>
    <w:rsid w:val="6D4061AD"/>
    <w:rsid w:val="6DA20391"/>
    <w:rsid w:val="6DB134A8"/>
    <w:rsid w:val="6EA700FC"/>
    <w:rsid w:val="6EDB4E26"/>
    <w:rsid w:val="702151FF"/>
    <w:rsid w:val="704843C5"/>
    <w:rsid w:val="71C439C0"/>
    <w:rsid w:val="721B4CED"/>
    <w:rsid w:val="72CB0C90"/>
    <w:rsid w:val="74031DBD"/>
    <w:rsid w:val="74102821"/>
    <w:rsid w:val="752B4EA4"/>
    <w:rsid w:val="75574B78"/>
    <w:rsid w:val="75862A7A"/>
    <w:rsid w:val="762E7563"/>
    <w:rsid w:val="76E7647C"/>
    <w:rsid w:val="77A614DE"/>
    <w:rsid w:val="780D4696"/>
    <w:rsid w:val="78B60C62"/>
    <w:rsid w:val="7970287F"/>
    <w:rsid w:val="79961674"/>
    <w:rsid w:val="7A8C601D"/>
    <w:rsid w:val="7AB66951"/>
    <w:rsid w:val="7AC43076"/>
    <w:rsid w:val="7C151B5B"/>
    <w:rsid w:val="7C4B6645"/>
    <w:rsid w:val="7C99556E"/>
    <w:rsid w:val="7D987E62"/>
    <w:rsid w:val="7DEE2657"/>
    <w:rsid w:val="7E8C2AC5"/>
    <w:rsid w:val="7ECF42DE"/>
    <w:rsid w:val="7EDE62AF"/>
    <w:rsid w:val="7FC65B28"/>
    <w:rsid w:val="7FD5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  <w:jc w:val="both"/>
    </w:pPr>
    <w:rPr>
      <w:rFonts w:ascii="Calibri" w:hAnsi="Calibri" w:eastAsia="Calibri" w:cs="Times New Roman"/>
      <w:sz w:val="24"/>
      <w:szCs w:val="22"/>
      <w:lang w:val="pl-PL" w:eastAsia="en-US" w:bidi="ar-SA"/>
    </w:rPr>
  </w:style>
  <w:style w:type="paragraph" w:styleId="2">
    <w:name w:val="heading 1"/>
    <w:basedOn w:val="1"/>
    <w:next w:val="1"/>
    <w:link w:val="30"/>
    <w:qFormat/>
    <w:uiPriority w:val="9"/>
    <w:pPr>
      <w:numPr>
        <w:ilvl w:val="0"/>
        <w:numId w:val="1"/>
      </w:numPr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spacing w:before="50" w:beforeLines="50" w:beforeAutospacing="0" w:after="50" w:afterLines="50" w:afterAutospacing="0" w:line="240" w:lineRule="auto"/>
      <w:ind w:left="248" w:hanging="248"/>
      <w:outlineLvl w:val="0"/>
    </w:pPr>
    <w:rPr>
      <w:rFonts w:eastAsia="Times New Roman"/>
      <w:b/>
      <w:bCs/>
      <w:i/>
      <w:kern w:val="36"/>
      <w:szCs w:val="48"/>
      <w:lang w:eastAsia="pl-PL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pBdr>
        <w:top w:val="none" w:color="auto" w:sz="0" w:space="1"/>
        <w:left w:val="none" w:color="auto" w:sz="0" w:space="4"/>
        <w:bottom w:val="dotted" w:color="auto" w:sz="4" w:space="1"/>
        <w:right w:val="none" w:color="auto" w:sz="0" w:space="4"/>
      </w:pBdr>
      <w:spacing w:before="50" w:beforeLines="50" w:after="50" w:afterLines="50"/>
      <w:ind w:left="576" w:hanging="576"/>
      <w:outlineLvl w:val="1"/>
    </w:pPr>
    <w:rPr>
      <w:rFonts w:eastAsiaTheme="majorEastAsia" w:cstheme="majorBidi"/>
      <w:b/>
      <w:bCs/>
      <w:i/>
      <w:color w:val="000000" w:themeColor="text1"/>
      <w:szCs w:val="26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before="50" w:beforeLines="50" w:after="50" w:afterLines="50" w:line="240" w:lineRule="auto"/>
      <w:ind w:left="720" w:hanging="720"/>
      <w:outlineLvl w:val="2"/>
    </w:pPr>
    <w:rPr>
      <w:rFonts w:eastAsiaTheme="majorEastAsia" w:cstheme="majorBidi"/>
      <w:b/>
      <w:bCs/>
      <w:i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32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Body Text"/>
    <w:basedOn w:val="1"/>
    <w:unhideWhenUsed/>
    <w:qFormat/>
    <w:uiPriority w:val="99"/>
    <w:pPr>
      <w:spacing w:before="0" w:after="0" w:line="240" w:lineRule="auto"/>
      <w:jc w:val="both"/>
    </w:pPr>
    <w:rPr>
      <w:rFonts w:ascii="Arial" w:hAnsi="Arial" w:eastAsia="Times New Roman" w:cs="Times New Roman"/>
      <w:sz w:val="20"/>
      <w:szCs w:val="20"/>
    </w:rPr>
  </w:style>
  <w:style w:type="character" w:styleId="9">
    <w:name w:val="annotation reference"/>
    <w:basedOn w:val="5"/>
    <w:unhideWhenUsed/>
    <w:qFormat/>
    <w:uiPriority w:val="99"/>
    <w:rPr>
      <w:sz w:val="16"/>
      <w:szCs w:val="16"/>
    </w:rPr>
  </w:style>
  <w:style w:type="paragraph" w:styleId="10">
    <w:name w:val="annotation text"/>
    <w:basedOn w:val="1"/>
    <w:link w:val="43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1">
    <w:name w:val="annotation subject"/>
    <w:basedOn w:val="10"/>
    <w:next w:val="10"/>
    <w:link w:val="44"/>
    <w:unhideWhenUsed/>
    <w:qFormat/>
    <w:uiPriority w:val="99"/>
    <w:rPr>
      <w:b/>
      <w:bCs/>
    </w:rPr>
  </w:style>
  <w:style w:type="character" w:styleId="12">
    <w:name w:val="endnote reference"/>
    <w:basedOn w:val="5"/>
    <w:unhideWhenUsed/>
    <w:qFormat/>
    <w:uiPriority w:val="99"/>
    <w:rPr>
      <w:vertAlign w:val="superscript"/>
    </w:rPr>
  </w:style>
  <w:style w:type="paragraph" w:styleId="13">
    <w:name w:val="endnote text"/>
    <w:basedOn w:val="1"/>
    <w:link w:val="31"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4">
    <w:name w:val="footer"/>
    <w:basedOn w:val="1"/>
    <w:link w:val="34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</w:style>
  <w:style w:type="character" w:styleId="15">
    <w:name w:val="footnote reference"/>
    <w:unhideWhenUsed/>
    <w:qFormat/>
    <w:uiPriority w:val="99"/>
    <w:rPr>
      <w:vertAlign w:val="superscript"/>
    </w:rPr>
  </w:style>
  <w:style w:type="paragraph" w:styleId="16">
    <w:name w:val="footnote text"/>
    <w:basedOn w:val="1"/>
    <w:unhideWhenUsed/>
    <w:qFormat/>
    <w:uiPriority w:val="99"/>
  </w:style>
  <w:style w:type="paragraph" w:styleId="17">
    <w:name w:val="header"/>
    <w:basedOn w:val="1"/>
    <w:link w:val="33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18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9">
    <w:name w:val="Normal (Web)"/>
    <w:basedOn w:val="1"/>
    <w:unhideWhenUsed/>
    <w:qFormat/>
    <w:uiPriority w:val="99"/>
    <w:pPr>
      <w:bidi w:val="0"/>
      <w:spacing w:before="0" w:beforeAutospacing="1" w:after="0" w:afterAutospacing="0" w:line="288" w:lineRule="auto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20">
    <w:name w:val="Strong"/>
    <w:basedOn w:val="5"/>
    <w:qFormat/>
    <w:uiPriority w:val="0"/>
    <w:rPr>
      <w:b/>
      <w:bCs/>
    </w:rPr>
  </w:style>
  <w:style w:type="table" w:styleId="21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2">
    <w:name w:val="toc 1"/>
    <w:basedOn w:val="1"/>
    <w:next w:val="1"/>
    <w:link w:val="58"/>
    <w:unhideWhenUsed/>
    <w:qFormat/>
    <w:uiPriority w:val="39"/>
    <w:pPr>
      <w:tabs>
        <w:tab w:val="left" w:pos="660"/>
        <w:tab w:val="right" w:leader="dot" w:pos="9062"/>
      </w:tabs>
      <w:spacing w:after="0" w:line="240" w:lineRule="auto"/>
    </w:pPr>
    <w:rPr>
      <w:rFonts w:cstheme="minorHAnsi"/>
      <w:b/>
      <w:sz w:val="22"/>
    </w:rPr>
  </w:style>
  <w:style w:type="paragraph" w:styleId="23">
    <w:name w:val="toc 2"/>
    <w:basedOn w:val="1"/>
    <w:next w:val="1"/>
    <w:unhideWhenUsed/>
    <w:qFormat/>
    <w:uiPriority w:val="39"/>
    <w:pPr>
      <w:spacing w:after="100"/>
      <w:ind w:left="220"/>
    </w:pPr>
  </w:style>
  <w:style w:type="paragraph" w:styleId="24">
    <w:name w:val="toc 3"/>
    <w:basedOn w:val="1"/>
    <w:next w:val="1"/>
    <w:unhideWhenUsed/>
    <w:qFormat/>
    <w:uiPriority w:val="39"/>
    <w:pPr>
      <w:spacing w:after="100"/>
      <w:ind w:left="440"/>
    </w:pPr>
  </w:style>
  <w:style w:type="paragraph" w:customStyle="1" w:styleId="25">
    <w:name w:val="No Spacing"/>
    <w:link w:val="26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customStyle="1" w:styleId="26">
    <w:name w:val="Bez odstępów Znak"/>
    <w:basedOn w:val="5"/>
    <w:link w:val="25"/>
    <w:qFormat/>
    <w:uiPriority w:val="1"/>
  </w:style>
  <w:style w:type="paragraph" w:customStyle="1" w:styleId="27">
    <w:name w:val="Bez odstępów1"/>
    <w:link w:val="28"/>
    <w:qFormat/>
    <w:uiPriority w:val="0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l-PL" w:eastAsia="en-US" w:bidi="ar-SA"/>
    </w:rPr>
  </w:style>
  <w:style w:type="character" w:customStyle="1" w:styleId="28">
    <w:name w:val="No Spacing Char"/>
    <w:link w:val="27"/>
    <w:qFormat/>
    <w:uiPriority w:val="0"/>
    <w:rPr>
      <w:rFonts w:ascii="Calibri" w:hAnsi="Calibri" w:eastAsia="Times New Roman" w:cs="Times New Roman"/>
    </w:rPr>
  </w:style>
  <w:style w:type="paragraph" w:customStyle="1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Nagłówek 1 Znak"/>
    <w:basedOn w:val="5"/>
    <w:link w:val="2"/>
    <w:qFormat/>
    <w:uiPriority w:val="9"/>
    <w:rPr>
      <w:rFonts w:ascii="Calibri" w:hAnsi="Calibri" w:eastAsia="Times New Roman" w:cs="Times New Roman"/>
      <w:b/>
      <w:bCs/>
      <w:i/>
      <w:kern w:val="36"/>
      <w:sz w:val="24"/>
      <w:szCs w:val="48"/>
      <w:lang w:eastAsia="pl-PL"/>
    </w:rPr>
  </w:style>
  <w:style w:type="character" w:customStyle="1" w:styleId="31">
    <w:name w:val="Tekst przypisu końcowego Znak"/>
    <w:basedOn w:val="5"/>
    <w:link w:val="13"/>
    <w:semiHidden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32">
    <w:name w:val="Tekst dymka Znak"/>
    <w:basedOn w:val="5"/>
    <w:link w:val="7"/>
    <w:semiHidden/>
    <w:qFormat/>
    <w:uiPriority w:val="99"/>
    <w:rPr>
      <w:rFonts w:ascii="Tahoma" w:hAnsi="Tahoma" w:eastAsia="Calibri" w:cs="Tahoma"/>
      <w:sz w:val="16"/>
      <w:szCs w:val="16"/>
    </w:rPr>
  </w:style>
  <w:style w:type="character" w:customStyle="1" w:styleId="33">
    <w:name w:val="Nagłówek Znak"/>
    <w:basedOn w:val="5"/>
    <w:link w:val="17"/>
    <w:qFormat/>
    <w:uiPriority w:val="99"/>
    <w:rPr>
      <w:rFonts w:ascii="Calibri" w:hAnsi="Calibri" w:eastAsia="Calibri" w:cs="Times New Roman"/>
    </w:rPr>
  </w:style>
  <w:style w:type="character" w:customStyle="1" w:styleId="34">
    <w:name w:val="Stopka Znak"/>
    <w:basedOn w:val="5"/>
    <w:link w:val="14"/>
    <w:qFormat/>
    <w:uiPriority w:val="0"/>
    <w:rPr>
      <w:rFonts w:ascii="Calibri" w:hAnsi="Calibri" w:eastAsia="Calibri" w:cs="Times New Roman"/>
    </w:rPr>
  </w:style>
  <w:style w:type="paragraph" w:customStyle="1" w:styleId="35">
    <w:name w:val="TOC Heading"/>
    <w:basedOn w:val="2"/>
    <w:next w:val="1"/>
    <w:unhideWhenUsed/>
    <w:qFormat/>
    <w:uiPriority w:val="3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36">
    <w:name w:val="Bez odstępów2"/>
    <w:qFormat/>
    <w:uiPriority w:val="0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l-PL" w:eastAsia="en-US" w:bidi="ar-SA"/>
    </w:rPr>
  </w:style>
  <w:style w:type="paragraph" w:customStyle="1" w:styleId="37">
    <w:name w:val="nagłówek 2"/>
    <w:basedOn w:val="1"/>
    <w:link w:val="39"/>
    <w:qFormat/>
    <w:uiPriority w:val="0"/>
    <w:pPr>
      <w:spacing w:after="0" w:line="240" w:lineRule="auto"/>
      <w:outlineLvl w:val="1"/>
    </w:pPr>
    <w:rPr>
      <w:rFonts w:asciiTheme="minorHAnsi" w:hAnsiTheme="minorHAnsi" w:eastAsiaTheme="minorHAnsi" w:cstheme="minorHAnsi"/>
      <w:b/>
      <w:i/>
      <w:caps/>
      <w:sz w:val="24"/>
      <w:szCs w:val="24"/>
    </w:rPr>
  </w:style>
  <w:style w:type="paragraph" w:customStyle="1" w:styleId="38">
    <w:name w:val="nagłówek 1"/>
    <w:basedOn w:val="2"/>
    <w:link w:val="40"/>
    <w:qFormat/>
    <w:uiPriority w:val="0"/>
    <w:pPr>
      <w:pBdr>
        <w:bottom w:val="single" w:color="auto" w:sz="6" w:space="1"/>
      </w:pBdr>
      <w:spacing w:before="0" w:beforeAutospacing="0" w:after="0" w:afterAutospacing="0"/>
    </w:pPr>
    <w:rPr>
      <w:bCs w:val="0"/>
      <w:caps/>
      <w:sz w:val="24"/>
    </w:rPr>
  </w:style>
  <w:style w:type="character" w:customStyle="1" w:styleId="39">
    <w:name w:val="nagłówek 2 Znak"/>
    <w:basedOn w:val="5"/>
    <w:link w:val="37"/>
    <w:qFormat/>
    <w:uiPriority w:val="0"/>
    <w:rPr>
      <w:rFonts w:cstheme="minorHAnsi"/>
      <w:b/>
      <w:i/>
      <w:caps/>
      <w:sz w:val="24"/>
      <w:szCs w:val="24"/>
    </w:rPr>
  </w:style>
  <w:style w:type="character" w:customStyle="1" w:styleId="40">
    <w:name w:val="nagłówek 1 Znak"/>
    <w:basedOn w:val="30"/>
    <w:link w:val="38"/>
    <w:qFormat/>
    <w:uiPriority w:val="0"/>
    <w:rPr>
      <w:rFonts w:ascii="Times New Roman" w:hAnsi="Times New Roman" w:eastAsia="Times New Roman" w:cs="Times New Roman"/>
      <w:bCs w:val="0"/>
      <w:caps/>
      <w:kern w:val="36"/>
      <w:sz w:val="24"/>
      <w:szCs w:val="48"/>
      <w:lang w:eastAsia="pl-PL"/>
    </w:rPr>
  </w:style>
  <w:style w:type="paragraph" w:customStyle="1" w:styleId="41">
    <w:name w:val="Styl1"/>
    <w:basedOn w:val="27"/>
    <w:link w:val="42"/>
    <w:qFormat/>
    <w:uiPriority w:val="0"/>
    <w:pPr>
      <w:numPr>
        <w:ilvl w:val="0"/>
        <w:numId w:val="2"/>
      </w:numPr>
      <w:pBdr>
        <w:bottom w:val="single" w:color="auto" w:sz="6" w:space="1"/>
      </w:pBdr>
      <w:outlineLvl w:val="0"/>
    </w:pPr>
    <w:rPr>
      <w:b/>
      <w:caps/>
      <w:sz w:val="24"/>
      <w:szCs w:val="24"/>
    </w:rPr>
  </w:style>
  <w:style w:type="character" w:customStyle="1" w:styleId="42">
    <w:name w:val="Styl1 Znak"/>
    <w:basedOn w:val="26"/>
    <w:link w:val="41"/>
    <w:qFormat/>
    <w:uiPriority w:val="0"/>
    <w:rPr>
      <w:b/>
      <w:caps/>
      <w:sz w:val="24"/>
      <w:szCs w:val="24"/>
    </w:rPr>
  </w:style>
  <w:style w:type="character" w:customStyle="1" w:styleId="43">
    <w:name w:val="Tekst komentarza Znak"/>
    <w:basedOn w:val="5"/>
    <w:link w:val="10"/>
    <w:semiHidden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44">
    <w:name w:val="Temat komentarza Znak"/>
    <w:basedOn w:val="43"/>
    <w:link w:val="11"/>
    <w:semiHidden/>
    <w:qFormat/>
    <w:uiPriority w:val="99"/>
    <w:rPr>
      <w:rFonts w:ascii="Calibri" w:hAnsi="Calibri" w:eastAsia="Calibri" w:cs="Times New Roman"/>
      <w:b/>
      <w:bCs/>
      <w:sz w:val="20"/>
      <w:szCs w:val="20"/>
    </w:rPr>
  </w:style>
  <w:style w:type="paragraph" w:customStyle="1" w:styleId="45">
    <w:name w:val="Standard"/>
    <w:qFormat/>
    <w:uiPriority w:val="0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val="pl-PL" w:eastAsia="zh-CN" w:bidi="ar-SA"/>
    </w:rPr>
  </w:style>
  <w:style w:type="character" w:customStyle="1" w:styleId="46">
    <w:name w:val="apple-converted-space"/>
    <w:basedOn w:val="5"/>
    <w:qFormat/>
    <w:uiPriority w:val="0"/>
  </w:style>
  <w:style w:type="paragraph" w:customStyle="1" w:styleId="47">
    <w:name w:val="western"/>
    <w:qFormat/>
    <w:uiPriority w:val="0"/>
    <w:pPr>
      <w:jc w:val="left"/>
    </w:pPr>
    <w:rPr>
      <w:rFonts w:ascii="Calibri" w:hAnsi="Calibri" w:eastAsia="SimSun" w:cs="Calibri"/>
      <w:kern w:val="0"/>
      <w:lang w:val="en-US" w:eastAsia="zh-CN" w:bidi="ar"/>
    </w:rPr>
  </w:style>
  <w:style w:type="character" w:customStyle="1" w:styleId="48">
    <w:name w:val="fontstyle01"/>
    <w:qFormat/>
    <w:uiPriority w:val="0"/>
    <w:rPr>
      <w:rFonts w:ascii="Calibri" w:hAnsi="Calibri" w:cs="Calibri"/>
      <w:color w:val="000000"/>
      <w:sz w:val="24"/>
      <w:szCs w:val="24"/>
    </w:rPr>
  </w:style>
  <w:style w:type="character" w:customStyle="1" w:styleId="49">
    <w:name w:val="Zakotwiczenie przypisu dolnego"/>
    <w:qFormat/>
    <w:uiPriority w:val="0"/>
    <w:rPr>
      <w:vertAlign w:val="superscript"/>
    </w:rPr>
  </w:style>
  <w:style w:type="paragraph" w:customStyle="1" w:styleId="50">
    <w:name w:val="tekst"/>
    <w:basedOn w:val="1"/>
    <w:qFormat/>
    <w:uiPriority w:val="0"/>
    <w:pPr>
      <w:spacing w:before="0" w:after="120" w:line="320" w:lineRule="exact"/>
      <w:ind w:firstLine="567"/>
      <w:jc w:val="both"/>
    </w:pPr>
    <w:rPr>
      <w:rFonts w:ascii="Arial" w:hAnsi="Arial" w:eastAsia="Times New Roman" w:cs="Arial"/>
      <w:bCs/>
      <w:sz w:val="24"/>
      <w:szCs w:val="20"/>
    </w:rPr>
  </w:style>
  <w:style w:type="paragraph" w:customStyle="1" w:styleId="51">
    <w:name w:val="Załącznik"/>
    <w:basedOn w:val="8"/>
    <w:qFormat/>
    <w:uiPriority w:val="0"/>
    <w:pPr>
      <w:keepLines/>
      <w:spacing w:before="220" w:after="220" w:line="220" w:lineRule="atLeast"/>
    </w:pPr>
    <w:rPr>
      <w:rFonts w:ascii="Arial Narrow" w:hAnsi="Arial Narrow"/>
      <w:bCs/>
      <w:sz w:val="24"/>
      <w:szCs w:val="24"/>
      <w:lang w:val="en-US" w:eastAsia="ar-SA" w:bidi="en-US"/>
    </w:rPr>
  </w:style>
  <w:style w:type="character" w:customStyle="1" w:styleId="52">
    <w:name w:val="Znaki przypisów dolnych"/>
    <w:basedOn w:val="5"/>
    <w:qFormat/>
    <w:uiPriority w:val="99"/>
    <w:rPr>
      <w:vertAlign w:val="superscript"/>
    </w:rPr>
  </w:style>
  <w:style w:type="character" w:customStyle="1" w:styleId="53">
    <w:name w:val="fontstyle21"/>
    <w:qFormat/>
    <w:uiPriority w:val="0"/>
    <w:rPr>
      <w:rFonts w:ascii="Verdana-Bold" w:hAnsi="Verdana-Bold" w:eastAsia="Verdana-Bold" w:cs="Verdana-Bold"/>
      <w:b/>
      <w:color w:val="000000"/>
      <w:sz w:val="20"/>
      <w:szCs w:val="20"/>
    </w:rPr>
  </w:style>
  <w:style w:type="paragraph" w:customStyle="1" w:styleId="54">
    <w:name w:val="Tekst podstawowy 21"/>
    <w:qFormat/>
    <w:uiPriority w:val="0"/>
    <w:pPr>
      <w:overflowPunct w:val="0"/>
      <w:autoSpaceDE w:val="0"/>
      <w:autoSpaceDN w:val="0"/>
      <w:adjustRightInd w:val="0"/>
      <w:spacing w:after="0" w:line="240" w:lineRule="auto"/>
      <w:ind w:left="210"/>
    </w:pPr>
    <w:rPr>
      <w:rFonts w:ascii="Times New Roman" w:hAnsi="Times New Roman" w:eastAsia="Times New Roman" w:cs="Times New Roman"/>
      <w:b/>
      <w:sz w:val="36"/>
      <w:szCs w:val="20"/>
      <w:lang w:val="pl-PL" w:eastAsia="pl-PL" w:bidi="ar-SA"/>
    </w:rPr>
  </w:style>
  <w:style w:type="paragraph" w:customStyle="1" w:styleId="55">
    <w:name w:val="Akapit z listą1"/>
    <w:basedOn w:val="1"/>
    <w:qFormat/>
    <w:uiPriority w:val="34"/>
    <w:pPr>
      <w:ind w:left="720"/>
      <w:contextualSpacing/>
    </w:pPr>
  </w:style>
  <w:style w:type="paragraph" w:customStyle="1" w:styleId="56">
    <w:name w:val="Body Text 21"/>
    <w:basedOn w:val="45"/>
    <w:qFormat/>
    <w:uiPriority w:val="99"/>
    <w:pPr>
      <w:jc w:val="both"/>
    </w:pPr>
    <w:rPr>
      <w:sz w:val="22"/>
      <w:szCs w:val="22"/>
    </w:rPr>
  </w:style>
  <w:style w:type="paragraph" w:customStyle="1" w:styleId="57">
    <w:name w:val="Wysunięcie obszaru tekstu"/>
    <w:basedOn w:val="45"/>
    <w:qFormat/>
    <w:uiPriority w:val="99"/>
    <w:pPr>
      <w:ind w:left="426" w:firstLine="1"/>
      <w:jc w:val="both"/>
    </w:pPr>
    <w:rPr>
      <w:sz w:val="24"/>
      <w:szCs w:val="24"/>
    </w:rPr>
  </w:style>
  <w:style w:type="character" w:customStyle="1" w:styleId="58">
    <w:name w:val="TOC 1 Char"/>
    <w:link w:val="22"/>
    <w:qFormat/>
    <w:uiPriority w:val="39"/>
    <w:rPr>
      <w:rFonts w:ascii="Calibri" w:hAnsi="Calibri" w:cstheme="minorHAnsi"/>
      <w:b/>
      <w:sz w:val="22"/>
    </w:rPr>
  </w:style>
  <w:style w:type="paragraph" w:customStyle="1" w:styleId="59">
    <w:name w:val="Bez odstępów21"/>
    <w:qFormat/>
    <w:uiPriority w:val="1"/>
    <w:rPr>
      <w:rFonts w:ascii="Calibri" w:hAnsi="Calibri" w:eastAsia="Times New Roman" w:cs="Times New Roman"/>
      <w:sz w:val="22"/>
      <w:szCs w:val="22"/>
      <w:lang w:val="pl-PL" w:eastAsia="en-US" w:bidi="ar-SA"/>
    </w:rPr>
  </w:style>
  <w:style w:type="paragraph" w:customStyle="1" w:styleId="60">
    <w:name w:val="Bez odstępów11"/>
    <w:qFormat/>
    <w:uiPriority w:val="1"/>
    <w:rPr>
      <w:rFonts w:ascii="Calibri" w:hAnsi="Calibri" w:eastAsia="Times New Roman" w:cs="Times New Roman"/>
      <w:sz w:val="22"/>
      <w:szCs w:val="22"/>
      <w:lang w:val="pl-PL" w:eastAsia="en-US" w:bidi="ar-SA"/>
    </w:rPr>
  </w:style>
  <w:style w:type="paragraph" w:customStyle="1" w:styleId="61">
    <w:name w:val="[Normal]"/>
    <w:qFormat/>
    <w:uiPriority w:val="0"/>
    <w:rPr>
      <w:rFonts w:ascii="Arial" w:hAnsi="Arial" w:eastAsia="Arial" w:cs="Times New Roman"/>
      <w:sz w:val="24"/>
      <w:szCs w:val="24"/>
      <w:lang w:val="pl-PL" w:eastAsia="ja-JP" w:bidi="ar-SA"/>
    </w:rPr>
  </w:style>
  <w:style w:type="paragraph" w:customStyle="1" w:styleId="62">
    <w:name w:val="Akapit z listą11"/>
    <w:basedOn w:val="1"/>
    <w:qFormat/>
    <w:uiPriority w:val="34"/>
    <w:pPr>
      <w:ind w:left="720"/>
      <w:contextualSpacing/>
    </w:pPr>
  </w:style>
  <w:style w:type="paragraph" w:customStyle="1" w:styleId="63">
    <w:name w:val="WPSOffice手动目录 1"/>
    <w:qFormat/>
    <w:uiPriority w:val="0"/>
    <w:pPr>
      <w:ind w:leftChars="0"/>
    </w:pPr>
    <w:rPr>
      <w:rFonts w:ascii="Times New Roman" w:hAnsi="Times New Roman" w:eastAsia="SimSu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84D1B7-D09C-4E1F-ACFD-F73DCE6696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57</Pages>
  <Words>16215</Words>
  <Characters>105105</Characters>
  <Lines>217</Lines>
  <Paragraphs>60</Paragraphs>
  <TotalTime>4</TotalTime>
  <ScaleCrop>false</ScaleCrop>
  <LinksUpToDate>false</LinksUpToDate>
  <CharactersWithSpaces>120363</CharactersWithSpaces>
  <Application>WPS Office_11.2.0.10084_F1E327BC-269C-435d-A152-05C5408002CA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2016-11-30T17:52:00Z</dcterms:created>
  <dc:creator>Arch</dc:creator>
  <cp:lastModifiedBy>Projektant</cp:lastModifiedBy>
  <cp:lastPrinted>2025-05-22T12:03:00Z</cp:lastPrinted>
  <dcterms:modified xsi:type="dcterms:W3CDTF">2025-08-22T11:05:13Z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1033-11.2.0.10084</vt:lpwstr>
  </property>
  <property fmtid="{D5CDD505-2E9C-101B-9397-08002B2CF9AE}" pid="3" name="ICV">
    <vt:lpwstr>DE141FF5EE8746C6B2725C0D2CC068A8</vt:lpwstr>
  </property>
</Properties>
</file>